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120"/>
        <w:gridCol w:w="2080"/>
        <w:gridCol w:w="1040"/>
        <w:gridCol w:w="880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93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2011年度科研项目立项清单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项目批号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基金类别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偶联反应新颖催化剂的制备及其催化性能研究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21171003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陶庭先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磁性碳载体的构建及其在脂肪酶固定化中的应用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21101002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陈志明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国家自然科学基金青年项目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醋酸甲酯羰基合成醋酐反应的新型催化剂的研制与应用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KJ2012B025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李兴扬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配位—氧化法制备Ti02/聚合物纤维及其光催化降解燃料的研究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KJ2011A030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陶庭先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稀土离子插层氧化石墨复合材料的制备与光致发光性能研究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KJ2011A034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唐定兴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从稻壳中分离木质素和二氧化硅合成碳化硅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KJ2011A038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杭志喜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高盐含酚废水处理中的高级生物处理技术的研发—好氧颗粒污泥膜生物反应器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KJ2011Z026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微量金属对餐厨垃圾厌氧消化的影响研究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KJ2011B009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宋珍霞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海泡石人工湿地系统处理生活污水的应用研究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KJ2011B014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颜酉斌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离子液体中小分子氨基甲酸烷基酯合成N-取代氨基甲酸酯的研究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KJ2011B020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张宏哲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壳聚糖衍生物对垃圾焚烧飞灰重金属稳定化研究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KJ2011B028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省高校省级自然科学研究项目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d-f异多核配合物的合成及光敏化作用研究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2011SQRL075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丁玉洁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水环境中新兴污染物(PPCPs类)分析方法的建立及去除工艺研究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芜科计字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[2011]47号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杨晓凡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566" w:bottom="144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305"/>
    <w:rsid w:val="002A7305"/>
    <w:rsid w:val="0064444A"/>
    <w:rsid w:val="006D6558"/>
    <w:rsid w:val="00A54EDB"/>
    <w:rsid w:val="00CE62A8"/>
    <w:rsid w:val="0AA4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210</Words>
  <Characters>1199</Characters>
  <Lines>9</Lines>
  <Paragraphs>2</Paragraphs>
  <TotalTime>1</TotalTime>
  <ScaleCrop>false</ScaleCrop>
  <LinksUpToDate>false</LinksUpToDate>
  <CharactersWithSpaces>1407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2016-05-25T01:28:00Z</dcterms:created>
  <dc:creator>Sky123.Org</dc:creator>
  <cp:lastModifiedBy>一剑倾城</cp:lastModifiedBy>
  <dcterms:modified xsi:type="dcterms:W3CDTF">2020-09-10T17:55:25Z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