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52CF0">
      <w:pPr>
        <w:keepNext w:val="0"/>
        <w:keepLines w:val="0"/>
        <w:pageBreakBefore w:val="0"/>
        <w:widowControl w:val="0"/>
        <w:shd w:val="clear"/>
        <w:kinsoku/>
        <w:wordWrap/>
        <w:overflowPunct/>
        <w:topLinePunct w:val="0"/>
        <w:autoSpaceDE/>
        <w:autoSpaceDN/>
        <w:bidi w:val="0"/>
        <w:adjustRightInd/>
        <w:snapToGrid/>
        <w:spacing w:after="0" w:line="600" w:lineRule="exact"/>
        <w:ind w:firstLine="0" w:firstLineChars="0"/>
        <w:jc w:val="left"/>
        <w:textAlignment w:val="auto"/>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附件</w:t>
      </w:r>
      <w:r>
        <w:rPr>
          <w:rFonts w:hint="eastAsia" w:ascii="Times New Roman" w:hAnsi="Times New Roman" w:eastAsia="黑体" w:cs="Times New Roman"/>
          <w:b w:val="0"/>
          <w:bCs/>
          <w:color w:val="auto"/>
          <w:sz w:val="32"/>
          <w:szCs w:val="32"/>
          <w:highlight w:val="none"/>
          <w:lang w:val="en-US" w:eastAsia="zh-CN"/>
        </w:rPr>
        <w:t>1</w:t>
      </w:r>
      <w:bookmarkStart w:id="14" w:name="_GoBack"/>
      <w:bookmarkEnd w:id="14"/>
    </w:p>
    <w:p w14:paraId="7283A932">
      <w:pPr>
        <w:keepNext w:val="0"/>
        <w:keepLines w:val="0"/>
        <w:pageBreakBefore w:val="0"/>
        <w:widowControl w:val="0"/>
        <w:shd w:val="clear"/>
        <w:kinsoku/>
        <w:wordWrap/>
        <w:overflowPunct/>
        <w:topLinePunct w:val="0"/>
        <w:autoSpaceDE/>
        <w:autoSpaceDN/>
        <w:bidi w:val="0"/>
        <w:adjustRightInd/>
        <w:snapToGrid/>
        <w:spacing w:after="0" w:line="600" w:lineRule="exact"/>
        <w:ind w:firstLine="0" w:firstLineChars="0"/>
        <w:jc w:val="left"/>
        <w:textAlignment w:val="auto"/>
        <w:rPr>
          <w:rFonts w:hint="default" w:ascii="Times New Roman" w:hAnsi="Times New Roman" w:eastAsia="黑体" w:cs="Times New Roman"/>
          <w:b w:val="0"/>
          <w:bCs/>
          <w:color w:val="auto"/>
          <w:sz w:val="32"/>
          <w:szCs w:val="32"/>
          <w:highlight w:val="none"/>
          <w:lang w:val="en-US" w:eastAsia="zh-CN"/>
        </w:rPr>
      </w:pPr>
    </w:p>
    <w:p w14:paraId="66E0B3F7">
      <w:pPr>
        <w:keepNext w:val="0"/>
        <w:keepLines w:val="0"/>
        <w:pageBreakBefore w:val="0"/>
        <w:widowControl w:val="0"/>
        <w:shd w:val="clear"/>
        <w:kinsoku/>
        <w:wordWrap/>
        <w:overflowPunct/>
        <w:topLinePunct w:val="0"/>
        <w:autoSpaceDE/>
        <w:autoSpaceDN/>
        <w:bidi w:val="0"/>
        <w:adjustRightInd/>
        <w:snapToGrid/>
        <w:spacing w:after="0" w:line="600" w:lineRule="exact"/>
        <w:ind w:firstLine="0" w:firstLineChars="0"/>
        <w:jc w:val="center"/>
        <w:textAlignment w:val="auto"/>
        <w:rPr>
          <w:rFonts w:hint="eastAsia" w:ascii="Times New Roman" w:hAnsi="Times New Roman" w:eastAsia="方正小标宋简体" w:cs="Times New Roman"/>
          <w:b w:val="0"/>
          <w:bCs/>
          <w:color w:val="auto"/>
          <w:sz w:val="44"/>
          <w:szCs w:val="44"/>
          <w:highlight w:val="none"/>
        </w:rPr>
      </w:pPr>
      <w:r>
        <w:rPr>
          <w:rFonts w:hint="eastAsia" w:ascii="Times New Roman" w:hAnsi="Times New Roman" w:eastAsia="方正小标宋简体" w:cs="Times New Roman"/>
          <w:b w:val="0"/>
          <w:bCs/>
          <w:color w:val="auto"/>
          <w:sz w:val="44"/>
          <w:szCs w:val="44"/>
          <w:highlight w:val="none"/>
        </w:rPr>
        <w:t>工程教育认证状态保持与持续改进</w:t>
      </w:r>
    </w:p>
    <w:p w14:paraId="5DFFDF0F">
      <w:pPr>
        <w:keepNext w:val="0"/>
        <w:keepLines w:val="0"/>
        <w:pageBreakBefore w:val="0"/>
        <w:widowControl w:val="0"/>
        <w:shd w:val="clear"/>
        <w:kinsoku/>
        <w:wordWrap/>
        <w:overflowPunct/>
        <w:topLinePunct w:val="0"/>
        <w:autoSpaceDE/>
        <w:autoSpaceDN/>
        <w:bidi w:val="0"/>
        <w:adjustRightInd/>
        <w:snapToGrid/>
        <w:spacing w:after="0" w:line="600" w:lineRule="exact"/>
        <w:ind w:firstLine="0" w:firstLineChars="0"/>
        <w:jc w:val="center"/>
        <w:textAlignment w:val="auto"/>
        <w:rPr>
          <w:rFonts w:ascii="Times New Roman" w:hAnsi="Times New Roman" w:eastAsia="方正小标宋简体" w:cs="Times New Roman"/>
          <w:b w:val="0"/>
          <w:bCs/>
          <w:color w:val="auto"/>
          <w:sz w:val="44"/>
          <w:szCs w:val="44"/>
          <w:highlight w:val="none"/>
        </w:rPr>
      </w:pPr>
      <w:r>
        <w:rPr>
          <w:rFonts w:hint="eastAsia" w:ascii="Times New Roman" w:hAnsi="Times New Roman" w:eastAsia="方正小标宋简体" w:cs="Times New Roman"/>
          <w:b w:val="0"/>
          <w:bCs/>
          <w:color w:val="auto"/>
          <w:sz w:val="44"/>
          <w:szCs w:val="44"/>
          <w:highlight w:val="none"/>
        </w:rPr>
        <w:t>工作指南</w:t>
      </w:r>
      <w:r>
        <w:rPr>
          <w:rFonts w:hint="eastAsia" w:ascii="方正小标宋简体" w:hAnsi="Times New Roman" w:eastAsia="方正小标宋简体" w:cs="Times New Roman"/>
          <w:bCs/>
          <w:color w:val="auto"/>
          <w:sz w:val="44"/>
          <w:szCs w:val="44"/>
          <w:highlight w:val="none"/>
        </w:rPr>
        <w:t>（202</w:t>
      </w:r>
      <w:r>
        <w:rPr>
          <w:rFonts w:hint="eastAsia" w:ascii="方正小标宋简体" w:hAnsi="Times New Roman" w:eastAsia="方正小标宋简体" w:cs="Times New Roman"/>
          <w:bCs/>
          <w:color w:val="auto"/>
          <w:sz w:val="44"/>
          <w:szCs w:val="44"/>
          <w:highlight w:val="none"/>
          <w:lang w:val="en-US" w:eastAsia="zh-CN"/>
        </w:rPr>
        <w:t>5</w:t>
      </w:r>
      <w:r>
        <w:rPr>
          <w:rFonts w:hint="eastAsia" w:ascii="方正小标宋简体" w:hAnsi="Times New Roman" w:eastAsia="方正小标宋简体" w:cs="Times New Roman"/>
          <w:bCs/>
          <w:color w:val="auto"/>
          <w:sz w:val="44"/>
          <w:szCs w:val="44"/>
          <w:highlight w:val="none"/>
        </w:rPr>
        <w:t>版）</w:t>
      </w:r>
    </w:p>
    <w:p w14:paraId="7502AD8E">
      <w:pPr>
        <w:keepNext w:val="0"/>
        <w:keepLines w:val="0"/>
        <w:pageBreakBefore w:val="0"/>
        <w:widowControl w:val="0"/>
        <w:shd w:val="clear"/>
        <w:kinsoku/>
        <w:wordWrap/>
        <w:overflowPunct/>
        <w:topLinePunct w:val="0"/>
        <w:autoSpaceDE/>
        <w:autoSpaceDN/>
        <w:bidi w:val="0"/>
        <w:adjustRightInd/>
        <w:snapToGrid/>
        <w:spacing w:after="0" w:line="600" w:lineRule="exact"/>
        <w:ind w:firstLine="0" w:firstLineChars="0"/>
        <w:jc w:val="center"/>
        <w:textAlignment w:val="auto"/>
        <w:rPr>
          <w:rFonts w:ascii="Times New Roman" w:hAnsi="Times New Roman" w:eastAsia="方正小标宋简体" w:cs="Times New Roman"/>
          <w:b/>
          <w:color w:val="auto"/>
          <w:sz w:val="44"/>
          <w:szCs w:val="32"/>
          <w:highlight w:val="none"/>
        </w:rPr>
      </w:pPr>
    </w:p>
    <w:p w14:paraId="246AB4BF">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为指导和督促已通过认证的专业在有效期内持续改进工作，保持</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通过</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认证状态，依据《工程教育认证标准》《工程教育认证工作规范》和《工程教育认证学校工作指南》，特制定本文件。</w:t>
      </w:r>
    </w:p>
    <w:p w14:paraId="03E779F3">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本</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指南</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适用于已通过中国工程教育专业认证协会（以下简称</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认证协会</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并在有效期之内</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的专业。</w:t>
      </w:r>
    </w:p>
    <w:p w14:paraId="2B574221">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专业认证状态保持与持续改进工作共包括五个阶段：完成持续改进工作</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报备改进情况</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提交改进报告</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开展中期审核</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以及</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审议并公布结论。</w:t>
      </w:r>
    </w:p>
    <w:p w14:paraId="63896166">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2" w:firstLineChars="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一、持续改进工作</w:t>
      </w:r>
    </w:p>
    <w:p w14:paraId="510E3533">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通过认证的专业在认证有效期内，须根据《工程教育认证标准》要求，建立完善</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的面向产出的</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教育质量评价机制，定期开展评价</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工作</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，并基于评价结果</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推进专业</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的持续改进。</w:t>
      </w:r>
    </w:p>
    <w:p w14:paraId="176DF290">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专业</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应重点</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针对</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在面向产出</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的教育质量</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评价机制建设</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和执行</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方面存在的问题，</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持续</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完善</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相关</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制度文件</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并严格执行</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主要</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包括专业培养方案、课程教学大纲</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和</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面向产出的</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教育质量</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评价机制</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专业应定期</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对所有用于毕业要求达成评价的课程</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开展</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课程目标达成情况</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的</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评价</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与分析</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改进</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教育</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教学</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工作，</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促进</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每位学生</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毕业要求的达成</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全面提高人才培养质量</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w:t>
      </w:r>
    </w:p>
    <w:p w14:paraId="083DE508">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对认证报告明确指出的问题和不足，</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专业</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应</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制定持续改进工作计划，</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采取切实有效的措施进行改进。</w:t>
      </w:r>
    </w:p>
    <w:p w14:paraId="6E02AA9A">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2" w:firstLineChars="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二、报备改进情况</w:t>
      </w:r>
    </w:p>
    <w:p w14:paraId="2C13052B">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专业在认证有效期内，须按年度将修订和完善的产出评价机制文件</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证明产出评价机制有效实施的相关证据（包括评价对象、评价依据、评价方法</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、评价结果和持续改进工作等原始材料），以及其他持续改进工作相关原始材料报认证协会备案（报备持续改进情况有关要求见附件1）。报备材料只</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需</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原始材料（</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无需</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提交改进情况总结报告），其中试卷、报告、论文等教学</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文档</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根据本校</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教学资料</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存档要求，以电子文档形式存档的原始材料。</w:t>
      </w:r>
    </w:p>
    <w:p w14:paraId="71916F3A">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认证协会将依据团体标准《工程教育认证工作规范》组织专家对专业提交的报备材料进行抽查</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14:paraId="5A86B515">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对于报备材料</w:t>
      </w:r>
      <w:bookmarkStart w:id="0" w:name="OLE_LINK1"/>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显示持续改进</w:t>
      </w:r>
      <w:bookmarkEnd w:id="0"/>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效果不明显的专业，</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由</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认证协会秘书处通知专业及时改进</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此类专业</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中期审核时</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原则“需要进校核实”，若已通过中期审核，将作为</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下一轮认证申请审核的重要参考。</w:t>
      </w:r>
    </w:p>
    <w:p w14:paraId="68CCF26C">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对于未</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按</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时报备有关材料的专业，</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经提醒后，仍未报备，</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将</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视</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作专业</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自愿</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中</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止认证通过的有效期，由认证协会秘书处报结论审议委员会审议，并通知相关专业</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14:paraId="3194BF0F">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2" w:firstLineChars="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三、提交改进报告</w:t>
      </w:r>
    </w:p>
    <w:p w14:paraId="17A17052">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专业应</w:t>
      </w:r>
      <w:bookmarkStart w:id="1" w:name="OLE_LINK2"/>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在有效期第三年年底前，</w:t>
      </w:r>
      <w:bookmarkEnd w:id="1"/>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根据每年度报备的持续改进情况，提交持续改进情况报告（格式见附件2）。逾期未提交的，认证协会将</w:t>
      </w:r>
      <w:r>
        <w:rPr>
          <w:rFonts w:hint="default" w:ascii="Times New Roman" w:hAnsi="Times New Roman" w:eastAsia="仿宋_GB2312" w:cs="Times New Roman"/>
          <w:color w:val="000000" w:themeColor="text1"/>
          <w:kern w:val="0"/>
          <w:sz w:val="32"/>
          <w:szCs w:val="32"/>
          <w:highlight w:val="none"/>
          <w:shd w:val="clear"/>
          <w:lang w:eastAsia="zh-CN"/>
          <w14:textFill>
            <w14:solidFill>
              <w14:schemeClr w14:val="tx1"/>
            </w14:solidFill>
          </w14:textFill>
        </w:rPr>
        <w:t>中止</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其认证有效期。</w:t>
      </w:r>
    </w:p>
    <w:p w14:paraId="4CE4B431">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认证结论为“通过认证，有效期 6 年（有条件）”的专业，持续改进情况报告应重点描述针对《认证报告》中“存在问题及关注项”的改进措施和取得成效，以及专业建立、完善和落实面向产出内部评价机制的情况，并按要求附各年度开展评价的原始材料。认证结论为“通过认证，有效期 6 年”的，持续改进情况报告应重点描述专业建立、完善和落实面向产出内部评价机制的情况，并按要求附各年度开展评价的原始材料。</w:t>
      </w:r>
    </w:p>
    <w:p w14:paraId="4C4E6ECC">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通过认证的专业若在认证有效期内有重大调整，涉及到专业名称、课程体系等，或师资队伍、办学条件等发生重大变化，应及时向认证协会秘书处报备并申请对调整或变化的部分进行重新认证。重新认证工作参照《工程教育认证工作规范》进行，可视具体情况适当简化。重新认证通过者，可继续保持原认证结论至有效期届满；否则，</w:t>
      </w:r>
      <w:r>
        <w:rPr>
          <w:rFonts w:hint="default" w:ascii="Times New Roman" w:hAnsi="Times New Roman" w:eastAsia="仿宋_GB2312" w:cs="Times New Roman"/>
          <w:color w:val="000000" w:themeColor="text1"/>
          <w:kern w:val="0"/>
          <w:sz w:val="32"/>
          <w:szCs w:val="32"/>
          <w:highlight w:val="none"/>
          <w:shd w:val="clear"/>
          <w:lang w:eastAsia="zh-CN"/>
          <w14:textFill>
            <w14:solidFill>
              <w14:schemeClr w14:val="tx1"/>
            </w14:solidFill>
          </w14:textFill>
        </w:rPr>
        <w:t>中止</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原认证的有效期。</w:t>
      </w:r>
    </w:p>
    <w:p w14:paraId="4F086786">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2" w:firstLineChars="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四、开展中期审核</w:t>
      </w:r>
    </w:p>
    <w:p w14:paraId="2D362E13">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在认证有效期第三年年底前，针对认证结论为“通过认证，有效期 6 年（有条件）”的专业，认证协会将组织专家对专业持续改进情况进行中期审核，审核未通过的，将</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中止</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认证有效期。中期审核的主要内容为专业提交的持续改进情况报告及证明材料，若书面材料存在疑问，由认证协会根据情况委派专家到现场进行核实。对认证结论为“通过认证，有效期 6 年”的专业，只需提交持续改进情况报告到认证协会备案即可，认证协会原则上不再进行中期审核，专业改进情况将作为再次认证的重要参考依据。</w:t>
      </w:r>
    </w:p>
    <w:p w14:paraId="5EFD2082">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中期审核阶段，各专业类认证委员会根据认证协会统一安排，组织专家（每专业原则上不少于</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名专家）对专业提交的持续改进情况报告及证明材料进行审阅。审阅重点包括两个方面：一是专业针对《认证报告》中提出的“存在问题及关注项”的改进措施和效果，判断改进情况是否满足《工程教育认证标准》要求；二是专业建立、完善和落实面向产出内部评价机制的情况，重点关注评价机制落实情况。</w:t>
      </w:r>
    </w:p>
    <w:p w14:paraId="407F1B80">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中期审核中，若发现专业虽提出改进措施，但无证据证明其改进效果，或是内部评价机制运行情况不明确的，可给出“需要进校核实”的初步结论。对初步审核结论为“需要进校核实”的，由认证协会委派1名专家（原则上为持续改进报告审核专家）进校核实，重点考查报告中未能反映的有关情况。</w:t>
      </w:r>
    </w:p>
    <w:p w14:paraId="2024BB86">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审核专家组根据审核情况，撰写《中期审核报告》（附件3），并按照下列原则提出结论建议，提交相关专业类认证委员会。</w:t>
      </w:r>
    </w:p>
    <w:p w14:paraId="6EA8915C">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（1）“继续保持有效期”：“存在问题及关注项”已经改进，或是未完全改进但其措施能够保证在未来三年持续改进，能够在 6 年内保持有效期，内部评价机制已建立，并有证据证明机制有效运行；</w:t>
      </w:r>
    </w:p>
    <w:p w14:paraId="3ABF9FDC">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eastAsia" w:ascii="Times New Roman" w:hAnsi="Times New Roman" w:eastAsia="黑体" w:cs="Times New Roman"/>
          <w:b/>
          <w:color w:val="auto"/>
          <w:sz w:val="32"/>
          <w:szCs w:val="32"/>
          <w:highlight w:val="none"/>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中止</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认证有效期”：有“存在问题及关注项”完全未改进，未改进的理由不明，也未提出任何改进措施</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或无证据证明课程目标、毕业要求达成情况评价机制有效运行，存在不满足底线要求的情况，难以继续保持 6 年有效期。</w:t>
      </w:r>
    </w:p>
    <w:p w14:paraId="2835BD4C">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2" w:firstLineChars="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五、审议并公布结论</w:t>
      </w:r>
    </w:p>
    <w:p w14:paraId="5BFD99FA">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专业类认证委员会将专家组撰写的《中期审核报告》反馈专业所在学校征询意见。学校应在收到报告后核实其中提出的问题，并于10日内按要求向专业类认证委员会反馈意见。逾期不回复的，视同没有异议。</w:t>
      </w:r>
    </w:p>
    <w:p w14:paraId="7F2EBAEB">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各专业类认证委员会组织召开中期审核结论审议会议，参会委员在充分讨论的基础上，采用无记名投票方式表决。全体委员2/3以上（含）出席会议，投票方为有效。同意票数达到出席会议委员人数的2/3以上（含），则通过中期审核结论建议，其他情况均视为不通过。根据审议情况，专业类认证委员会修改并确认《中期审核报告》，提交认证协会认证结论审议委员会。</w:t>
      </w:r>
    </w:p>
    <w:p w14:paraId="09EA08FE">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结论审议委员会召开会议，对各专业类认证委员会提交的《中期审核报告》进行审议，通过后报认证协会理事会批准，由认证协会发布。如专业对认证结论有异议，可向监事会提出申诉，由监事会做出最终裁决。</w:t>
      </w:r>
    </w:p>
    <w:p w14:paraId="43D2680E">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中止</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认证有效期”的专业，认证协会将动态调整通过认证专业名单。专业须在达到《工程教育认证标准》要求后重新申请认证。</w:t>
      </w:r>
    </w:p>
    <w:p w14:paraId="3FB1470E">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p>
    <w:p w14:paraId="3E00448D">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附件：1.</w:t>
      </w:r>
      <w:r>
        <w:rPr>
          <w:rFonts w:hint="eastAsia"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rPr>
        <w:t>工程教育认证持续改进情况报备要求</w:t>
      </w:r>
    </w:p>
    <w:p w14:paraId="30BCCEA4">
      <w:pPr>
        <w:keepNext w:val="0"/>
        <w:keepLines w:val="0"/>
        <w:pageBreakBefore w:val="0"/>
        <w:widowControl w:val="0"/>
        <w:numPr>
          <w:ilvl w:val="255"/>
          <w:numId w:val="0"/>
        </w:numPr>
        <w:shd w:val="clear"/>
        <w:kinsoku/>
        <w:wordWrap/>
        <w:overflowPunct/>
        <w:topLinePunct w:val="0"/>
        <w:autoSpaceDE/>
        <w:autoSpaceDN/>
        <w:bidi w:val="0"/>
        <w:adjustRightInd/>
        <w:snapToGrid/>
        <w:spacing w:beforeLines="0" w:after="0" w:line="600" w:lineRule="exact"/>
        <w:ind w:left="0" w:firstLine="1600" w:firstLineChars="5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2.</w:t>
      </w:r>
      <w:r>
        <w:rPr>
          <w:rFonts w:hint="eastAsia"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rPr>
        <w:t>工程教育认证</w:t>
      </w:r>
      <w:bookmarkStart w:id="2" w:name="_Hlk169601247"/>
      <w:r>
        <w:rPr>
          <w:rFonts w:hint="eastAsia" w:ascii="Times New Roman" w:hAnsi="Times New Roman" w:eastAsia="仿宋" w:cs="Times New Roman"/>
          <w:color w:val="auto"/>
          <w:sz w:val="32"/>
          <w:szCs w:val="32"/>
          <w:highlight w:val="none"/>
        </w:rPr>
        <w:t>持续改进情况报告</w:t>
      </w:r>
      <w:bookmarkEnd w:id="2"/>
    </w:p>
    <w:p w14:paraId="3A549D6F">
      <w:pPr>
        <w:keepNext w:val="0"/>
        <w:keepLines w:val="0"/>
        <w:pageBreakBefore w:val="0"/>
        <w:widowControl w:val="0"/>
        <w:numPr>
          <w:ilvl w:val="255"/>
          <w:numId w:val="0"/>
        </w:numPr>
        <w:shd w:val="clear"/>
        <w:kinsoku/>
        <w:wordWrap/>
        <w:overflowPunct/>
        <w:topLinePunct w:val="0"/>
        <w:autoSpaceDE/>
        <w:autoSpaceDN/>
        <w:bidi w:val="0"/>
        <w:adjustRightInd/>
        <w:snapToGrid/>
        <w:spacing w:beforeLines="0" w:after="0" w:line="600" w:lineRule="exact"/>
        <w:ind w:left="0" w:firstLine="1600" w:firstLineChars="5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2"/>
          <w:szCs w:val="32"/>
          <w:highlight w:val="none"/>
        </w:rPr>
        <w:t>3.</w:t>
      </w:r>
      <w:r>
        <w:rPr>
          <w:rFonts w:hint="eastAsia"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rPr>
        <w:t>中期审核报告</w:t>
      </w:r>
    </w:p>
    <w:p w14:paraId="63A865AA">
      <w:pPr>
        <w:widowControl/>
        <w:shd w:val="clear"/>
        <w:spacing w:after="0" w:line="259" w:lineRule="auto"/>
        <w:ind w:firstLine="0" w:firstLineChars="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br w:type="page"/>
      </w:r>
    </w:p>
    <w:p w14:paraId="4923F57B">
      <w:pPr>
        <w:keepNext w:val="0"/>
        <w:keepLines w:val="0"/>
        <w:pageBreakBefore w:val="0"/>
        <w:shd w:val="clear"/>
        <w:kinsoku/>
        <w:wordWrap/>
        <w:overflowPunct/>
        <w:topLinePunct w:val="0"/>
        <w:autoSpaceDE/>
        <w:autoSpaceDN/>
        <w:bidi w:val="0"/>
        <w:adjustRightInd/>
        <w:snapToGrid/>
        <w:spacing w:after="0" w:line="600" w:lineRule="exact"/>
        <w:ind w:firstLine="0" w:firstLineChars="0"/>
        <w:textAlignment w:val="auto"/>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附件1</w:t>
      </w:r>
    </w:p>
    <w:p w14:paraId="26DF0F9F">
      <w:pPr>
        <w:keepNext w:val="0"/>
        <w:keepLines w:val="0"/>
        <w:pageBreakBefore w:val="0"/>
        <w:shd w:val="clear"/>
        <w:kinsoku/>
        <w:wordWrap/>
        <w:overflowPunct/>
        <w:topLinePunct w:val="0"/>
        <w:autoSpaceDE/>
        <w:autoSpaceDN/>
        <w:bidi w:val="0"/>
        <w:adjustRightInd/>
        <w:snapToGrid/>
        <w:spacing w:after="0" w:line="600" w:lineRule="exact"/>
        <w:ind w:firstLine="0" w:firstLineChars="0"/>
        <w:textAlignment w:val="auto"/>
        <w:rPr>
          <w:rFonts w:hint="default" w:ascii="Times New Roman" w:hAnsi="Times New Roman" w:eastAsia="黑体" w:cs="Times New Roman"/>
          <w:b w:val="0"/>
          <w:bCs/>
          <w:color w:val="auto"/>
          <w:sz w:val="32"/>
          <w:szCs w:val="32"/>
          <w:highlight w:val="none"/>
        </w:rPr>
      </w:pPr>
    </w:p>
    <w:p w14:paraId="7714F36B">
      <w:pPr>
        <w:keepNext w:val="0"/>
        <w:keepLines w:val="0"/>
        <w:pageBreakBefore w:val="0"/>
        <w:widowControl/>
        <w:shd w:val="clear"/>
        <w:kinsoku/>
        <w:wordWrap/>
        <w:overflowPunct/>
        <w:topLinePunct w:val="0"/>
        <w:autoSpaceDE/>
        <w:autoSpaceDN/>
        <w:bidi w:val="0"/>
        <w:adjustRightInd/>
        <w:snapToGrid/>
        <w:spacing w:after="0" w:line="600" w:lineRule="exact"/>
        <w:ind w:firstLine="0" w:firstLineChars="0"/>
        <w:jc w:val="center"/>
        <w:textAlignment w:val="auto"/>
        <w:rPr>
          <w:rFonts w:ascii="Times New Roman" w:hAnsi="Times New Roman" w:eastAsia="方正小标宋简体" w:cs="Times New Roman"/>
          <w:b w:val="0"/>
          <w:bCs/>
          <w:color w:val="auto"/>
          <w:sz w:val="44"/>
          <w:szCs w:val="44"/>
          <w:highlight w:val="none"/>
        </w:rPr>
      </w:pPr>
      <w:r>
        <w:rPr>
          <w:rFonts w:hint="eastAsia" w:ascii="Times New Roman" w:hAnsi="Times New Roman" w:eastAsia="方正小标宋简体" w:cs="Times New Roman"/>
          <w:b w:val="0"/>
          <w:bCs/>
          <w:color w:val="auto"/>
          <w:sz w:val="44"/>
          <w:szCs w:val="44"/>
          <w:highlight w:val="none"/>
        </w:rPr>
        <w:t>工程教育认证持续改进情况报备要求（202</w:t>
      </w:r>
      <w:r>
        <w:rPr>
          <w:rFonts w:hint="eastAsia" w:ascii="Times New Roman" w:hAnsi="Times New Roman" w:eastAsia="方正小标宋简体" w:cs="Times New Roman"/>
          <w:b w:val="0"/>
          <w:bCs/>
          <w:color w:val="auto"/>
          <w:sz w:val="44"/>
          <w:szCs w:val="44"/>
          <w:highlight w:val="none"/>
          <w:lang w:val="en-US" w:eastAsia="zh-CN"/>
        </w:rPr>
        <w:t>5</w:t>
      </w:r>
      <w:r>
        <w:rPr>
          <w:rFonts w:hint="eastAsia" w:ascii="Times New Roman" w:hAnsi="Times New Roman" w:eastAsia="方正小标宋简体" w:cs="Times New Roman"/>
          <w:b w:val="0"/>
          <w:bCs/>
          <w:color w:val="auto"/>
          <w:sz w:val="44"/>
          <w:szCs w:val="44"/>
          <w:highlight w:val="none"/>
        </w:rPr>
        <w:t>版）</w:t>
      </w:r>
    </w:p>
    <w:p w14:paraId="66552C0F">
      <w:pPr>
        <w:keepNext w:val="0"/>
        <w:keepLines w:val="0"/>
        <w:pageBreakBefore w:val="0"/>
        <w:shd w:val="clear"/>
        <w:kinsoku/>
        <w:wordWrap/>
        <w:overflowPunct/>
        <w:topLinePunct w:val="0"/>
        <w:autoSpaceDE/>
        <w:autoSpaceDN/>
        <w:bidi w:val="0"/>
        <w:adjustRightInd/>
        <w:snapToGrid/>
        <w:spacing w:after="156" w:afterLines="50" w:line="600" w:lineRule="exact"/>
        <w:ind w:firstLine="0" w:firstLineChars="0"/>
        <w:textAlignment w:val="auto"/>
        <w:rPr>
          <w:rFonts w:ascii="Times New Roman" w:hAnsi="Times New Roman" w:eastAsia="宋体" w:cs="Times New Roman"/>
          <w:b/>
          <w:color w:val="auto"/>
          <w:sz w:val="40"/>
          <w:szCs w:val="40"/>
          <w:highlight w:val="none"/>
        </w:rPr>
      </w:pPr>
    </w:p>
    <w:p w14:paraId="4110F8EF">
      <w:pPr>
        <w:keepNext w:val="0"/>
        <w:keepLines w:val="0"/>
        <w:pageBreakBefore w:val="0"/>
        <w:shd w:val="clear"/>
        <w:kinsoku/>
        <w:wordWrap/>
        <w:overflowPunct/>
        <w:topLinePunct w:val="0"/>
        <w:autoSpaceDE/>
        <w:autoSpaceDN/>
        <w:bidi w:val="0"/>
        <w:adjustRightInd/>
        <w:snapToGrid/>
        <w:spacing w:after="0" w:line="600" w:lineRule="exact"/>
        <w:ind w:firstLine="0" w:firstLineChars="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一、报备时间</w:t>
      </w:r>
    </w:p>
    <w:p w14:paraId="1686B667">
      <w:pPr>
        <w:keepNext w:val="0"/>
        <w:keepLines w:val="0"/>
        <w:pageBreakBefore w:val="0"/>
        <w:shd w:val="clear"/>
        <w:kinsoku/>
        <w:wordWrap/>
        <w:overflowPunct/>
        <w:topLinePunct w:val="0"/>
        <w:autoSpaceDE/>
        <w:autoSpaceDN/>
        <w:bidi w:val="0"/>
        <w:adjustRightInd/>
        <w:snapToGrid/>
        <w:spacing w:after="0" w:line="600" w:lineRule="exact"/>
        <w:ind w:firstLine="600"/>
        <w:textAlignment w:val="auto"/>
        <w:rPr>
          <w:rFonts w:ascii="Times New Roman" w:hAnsi="Times New Roman" w:eastAsia="仿宋" w:cs="Times New Roman"/>
          <w:b/>
          <w:color w:val="auto"/>
          <w:sz w:val="32"/>
          <w:szCs w:val="32"/>
          <w:highlight w:val="none"/>
        </w:rPr>
      </w:pPr>
      <w:r>
        <w:rPr>
          <w:rFonts w:hint="eastAsia" w:ascii="Times New Roman" w:hAnsi="Times New Roman" w:eastAsia="仿宋" w:cs="Times New Roman"/>
          <w:color w:val="auto"/>
          <w:sz w:val="32"/>
          <w:szCs w:val="32"/>
          <w:highlight w:val="none"/>
        </w:rPr>
        <w:t>通过认证有效期内，每年12月31日前。</w:t>
      </w:r>
    </w:p>
    <w:p w14:paraId="6BFB89F6">
      <w:pPr>
        <w:keepNext w:val="0"/>
        <w:keepLines w:val="0"/>
        <w:pageBreakBefore w:val="0"/>
        <w:shd w:val="clear"/>
        <w:kinsoku/>
        <w:wordWrap/>
        <w:overflowPunct/>
        <w:topLinePunct w:val="0"/>
        <w:autoSpaceDE/>
        <w:autoSpaceDN/>
        <w:bidi w:val="0"/>
        <w:adjustRightInd/>
        <w:snapToGrid/>
        <w:spacing w:after="0" w:line="600" w:lineRule="exact"/>
        <w:ind w:firstLine="0" w:firstLineChars="0"/>
        <w:textAlignment w:val="auto"/>
        <w:rPr>
          <w:rFonts w:hint="eastAsia"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二、报备方式</w:t>
      </w:r>
    </w:p>
    <w:p w14:paraId="526B0C71">
      <w:pPr>
        <w:keepNext w:val="0"/>
        <w:keepLines w:val="0"/>
        <w:pageBreakBefore w:val="0"/>
        <w:shd w:val="clear"/>
        <w:kinsoku/>
        <w:wordWrap/>
        <w:overflowPunct/>
        <w:topLinePunct w:val="0"/>
        <w:autoSpaceDE/>
        <w:autoSpaceDN/>
        <w:bidi w:val="0"/>
        <w:adjustRightInd/>
        <w:snapToGrid/>
        <w:spacing w:after="0" w:line="600" w:lineRule="exact"/>
        <w:ind w:firstLine="6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通过工程教育专业认证系统或其他方式，将有关原始文件材料统一打包编号，报中国工程教育专业认证协会秘书处备案。建议报备材料按照本校要求归档后，在本地服务器存储，提供</w:t>
      </w:r>
      <w:r>
        <w:rPr>
          <w:rFonts w:hint="eastAsia" w:ascii="Times New Roman" w:hAnsi="Times New Roman" w:eastAsia="仿宋" w:cs="Times New Roman"/>
          <w:color w:val="auto"/>
          <w:sz w:val="32"/>
          <w:szCs w:val="32"/>
          <w:highlight w:val="none"/>
          <w:lang w:val="en-US" w:eastAsia="zh-CN"/>
        </w:rPr>
        <w:t>长期有效的</w:t>
      </w:r>
      <w:r>
        <w:rPr>
          <w:rFonts w:hint="eastAsia" w:ascii="Times New Roman" w:hAnsi="Times New Roman" w:eastAsia="仿宋" w:cs="Times New Roman"/>
          <w:color w:val="auto"/>
          <w:sz w:val="32"/>
          <w:szCs w:val="32"/>
          <w:highlight w:val="none"/>
        </w:rPr>
        <w:t>查阅链接</w:t>
      </w:r>
      <w:r>
        <w:rPr>
          <w:rFonts w:hint="eastAsia" w:ascii="Times New Roman" w:hAnsi="Times New Roman" w:eastAsia="仿宋" w:cs="Times New Roman"/>
          <w:color w:val="auto"/>
          <w:sz w:val="32"/>
          <w:szCs w:val="32"/>
          <w:highlight w:val="none"/>
          <w:lang w:val="en-US" w:eastAsia="zh-CN"/>
        </w:rPr>
        <w:t>及密码</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如：网盘</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rPr>
        <w:t>开放查阅权限备查。</w:t>
      </w:r>
    </w:p>
    <w:p w14:paraId="74AF2C95">
      <w:pPr>
        <w:keepNext w:val="0"/>
        <w:keepLines w:val="0"/>
        <w:pageBreakBefore w:val="0"/>
        <w:shd w:val="clear"/>
        <w:kinsoku/>
        <w:wordWrap/>
        <w:overflowPunct/>
        <w:topLinePunct w:val="0"/>
        <w:autoSpaceDE/>
        <w:autoSpaceDN/>
        <w:bidi w:val="0"/>
        <w:adjustRightInd/>
        <w:snapToGrid/>
        <w:spacing w:after="0" w:line="600" w:lineRule="exact"/>
        <w:ind w:firstLine="0" w:firstLineChars="0"/>
        <w:textAlignment w:val="auto"/>
        <w:rPr>
          <w:rFonts w:hint="eastAsia"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三、报备材料及要求</w:t>
      </w:r>
    </w:p>
    <w:p w14:paraId="4B990D42">
      <w:pPr>
        <w:keepNext w:val="0"/>
        <w:keepLines w:val="0"/>
        <w:pageBreakBefore w:val="0"/>
        <w:shd w:val="clear"/>
        <w:kinsoku/>
        <w:wordWrap/>
        <w:overflowPunct/>
        <w:topLinePunct w:val="0"/>
        <w:autoSpaceDE/>
        <w:autoSpaceDN/>
        <w:bidi w:val="0"/>
        <w:adjustRightInd/>
        <w:snapToGrid/>
        <w:spacing w:after="0" w:line="600" w:lineRule="exact"/>
        <w:ind w:firstLine="600" w:firstLineChars="0"/>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本年度修订和完善的面向产出评价机制的制度文件、面向产出开展的评价活动、评价结果、以及依据评价结果进行持续改进等原始材料。仅需原始材料，无需总结情况报告。有关材料要求包括：</w:t>
      </w:r>
    </w:p>
    <w:p w14:paraId="45CA9583">
      <w:pPr>
        <w:keepNext w:val="0"/>
        <w:keepLines w:val="0"/>
        <w:pageBreakBefore w:val="0"/>
        <w:widowControl/>
        <w:shd w:val="clear"/>
        <w:kinsoku/>
        <w:wordWrap/>
        <w:overflowPunct/>
        <w:topLinePunct w:val="0"/>
        <w:autoSpaceDE/>
        <w:autoSpaceDN/>
        <w:bidi w:val="0"/>
        <w:adjustRightInd/>
        <w:snapToGrid/>
        <w:spacing w:after="0" w:line="600" w:lineRule="exact"/>
        <w:ind w:firstLine="6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1. 本年度按照面向产出要求修订的制度文件（本年度如无修订，可不提供，但需注明）：</w:t>
      </w:r>
    </w:p>
    <w:p w14:paraId="46A305F7">
      <w:pPr>
        <w:keepNext w:val="0"/>
        <w:keepLines w:val="0"/>
        <w:pageBreakBefore w:val="0"/>
        <w:widowControl/>
        <w:shd w:val="clear"/>
        <w:kinsoku/>
        <w:wordWrap/>
        <w:overflowPunct/>
        <w:topLinePunct w:val="0"/>
        <w:autoSpaceDE/>
        <w:autoSpaceDN/>
        <w:bidi w:val="0"/>
        <w:adjustRightInd/>
        <w:snapToGrid/>
        <w:spacing w:after="0" w:line="600" w:lineRule="exact"/>
        <w:ind w:firstLine="6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（1）培养方案（需附修订时间及修订情况说明）；</w:t>
      </w:r>
    </w:p>
    <w:p w14:paraId="769F79D3">
      <w:pPr>
        <w:keepNext w:val="0"/>
        <w:keepLines w:val="0"/>
        <w:pageBreakBefore w:val="0"/>
        <w:widowControl/>
        <w:shd w:val="clear"/>
        <w:kinsoku/>
        <w:wordWrap/>
        <w:overflowPunct/>
        <w:topLinePunct w:val="0"/>
        <w:autoSpaceDE/>
        <w:autoSpaceDN/>
        <w:bidi w:val="0"/>
        <w:adjustRightInd/>
        <w:snapToGrid/>
        <w:spacing w:after="0" w:line="600" w:lineRule="exact"/>
        <w:ind w:firstLine="6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（2）各类课程教学大纲（需附修订时间及修订情况说明）；</w:t>
      </w:r>
    </w:p>
    <w:p w14:paraId="027E122D">
      <w:pPr>
        <w:keepNext w:val="0"/>
        <w:keepLines w:val="0"/>
        <w:pageBreakBefore w:val="0"/>
        <w:widowControl/>
        <w:shd w:val="clear"/>
        <w:kinsoku/>
        <w:wordWrap/>
        <w:overflowPunct/>
        <w:topLinePunct w:val="0"/>
        <w:autoSpaceDE/>
        <w:autoSpaceDN/>
        <w:bidi w:val="0"/>
        <w:adjustRightInd/>
        <w:snapToGrid/>
        <w:spacing w:after="0" w:line="600" w:lineRule="exact"/>
        <w:ind w:firstLine="6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（3）有关产出评价机制的文件（需附修订时间及修订情况说明）。</w:t>
      </w:r>
    </w:p>
    <w:p w14:paraId="5BAF783C">
      <w:pPr>
        <w:keepNext w:val="0"/>
        <w:keepLines w:val="0"/>
        <w:pageBreakBefore w:val="0"/>
        <w:widowControl/>
        <w:shd w:val="clear"/>
        <w:kinsoku/>
        <w:wordWrap/>
        <w:overflowPunct/>
        <w:topLinePunct w:val="0"/>
        <w:autoSpaceDE/>
        <w:autoSpaceDN/>
        <w:bidi w:val="0"/>
        <w:adjustRightInd/>
        <w:snapToGrid/>
        <w:spacing w:after="0" w:line="600" w:lineRule="exact"/>
        <w:ind w:firstLine="600"/>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2. 本年度按照面向产出评价机制的要求，开展课程目标达成情况评价的有关材料。仅需报备当年度评价课程（在一个评价周期内覆盖</w:t>
      </w:r>
      <w:r>
        <w:rPr>
          <w:rFonts w:hint="eastAsia" w:ascii="Times New Roman" w:hAnsi="Times New Roman" w:eastAsia="仿宋" w:cs="Times New Roman"/>
          <w:color w:val="auto"/>
          <w:sz w:val="32"/>
          <w:szCs w:val="32"/>
          <w:highlight w:val="none"/>
          <w:shd w:val="clear"/>
        </w:rPr>
        <w:t>所</w:t>
      </w:r>
      <w:r>
        <w:rPr>
          <w:rFonts w:hint="eastAsia" w:ascii="Times New Roman" w:hAnsi="Times New Roman" w:eastAsia="仿宋" w:cs="Times New Roman"/>
          <w:color w:val="auto"/>
          <w:sz w:val="32"/>
          <w:szCs w:val="32"/>
          <w:highlight w:val="none"/>
        </w:rPr>
        <w:t>有</w:t>
      </w:r>
      <w:r>
        <w:rPr>
          <w:rFonts w:hint="eastAsia" w:ascii="Times New Roman" w:hAnsi="Times New Roman" w:eastAsia="仿宋" w:cs="Times New Roman"/>
          <w:color w:val="auto"/>
          <w:sz w:val="32"/>
          <w:szCs w:val="32"/>
          <w:highlight w:val="none"/>
          <w:lang w:val="en-US" w:eastAsia="zh-CN"/>
        </w:rPr>
        <w:t>用于评价的</w:t>
      </w:r>
      <w:r>
        <w:rPr>
          <w:rFonts w:hint="eastAsia" w:ascii="Times New Roman" w:hAnsi="Times New Roman" w:eastAsia="仿宋" w:cs="Times New Roman"/>
          <w:color w:val="auto"/>
          <w:sz w:val="32"/>
          <w:szCs w:val="32"/>
          <w:highlight w:val="none"/>
        </w:rPr>
        <w:t>课程即可），每门课程一个文件包，包括：</w:t>
      </w:r>
    </w:p>
    <w:p w14:paraId="342763D8">
      <w:pPr>
        <w:keepNext w:val="0"/>
        <w:keepLines w:val="0"/>
        <w:pageBreakBefore w:val="0"/>
        <w:widowControl/>
        <w:shd w:val="clear"/>
        <w:kinsoku/>
        <w:wordWrap/>
        <w:overflowPunct/>
        <w:topLinePunct w:val="0"/>
        <w:autoSpaceDE/>
        <w:autoSpaceDN/>
        <w:bidi w:val="0"/>
        <w:adjustRightInd/>
        <w:snapToGrid/>
        <w:spacing w:after="0" w:line="600" w:lineRule="exact"/>
        <w:ind w:firstLine="600"/>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（1）课程教学大纲；</w:t>
      </w:r>
    </w:p>
    <w:p w14:paraId="1042F732">
      <w:pPr>
        <w:keepNext w:val="0"/>
        <w:keepLines w:val="0"/>
        <w:pageBreakBefore w:val="0"/>
        <w:widowControl/>
        <w:shd w:val="clear"/>
        <w:kinsoku/>
        <w:wordWrap/>
        <w:overflowPunct/>
        <w:topLinePunct w:val="0"/>
        <w:autoSpaceDE/>
        <w:autoSpaceDN/>
        <w:bidi w:val="0"/>
        <w:adjustRightInd/>
        <w:snapToGrid/>
        <w:spacing w:after="0" w:line="600" w:lineRule="exact"/>
        <w:ind w:firstLine="6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（2）课程教学考核和评价</w:t>
      </w:r>
      <w:r>
        <w:rPr>
          <w:rFonts w:hint="eastAsia" w:ascii="Times New Roman" w:hAnsi="Times New Roman" w:eastAsia="仿宋" w:cs="Times New Roman"/>
          <w:color w:val="auto"/>
          <w:sz w:val="32"/>
          <w:szCs w:val="32"/>
          <w:highlight w:val="none"/>
          <w:lang w:val="en-US" w:eastAsia="zh-CN"/>
        </w:rPr>
        <w:t>分析</w:t>
      </w:r>
      <w:r>
        <w:rPr>
          <w:rFonts w:hint="eastAsia" w:ascii="Times New Roman" w:hAnsi="Times New Roman" w:eastAsia="仿宋" w:cs="Times New Roman"/>
          <w:color w:val="auto"/>
          <w:sz w:val="32"/>
          <w:szCs w:val="32"/>
          <w:highlight w:val="none"/>
        </w:rPr>
        <w:t>材料，根据课程类别分别要求如下：</w:t>
      </w:r>
    </w:p>
    <w:p w14:paraId="40EB402E">
      <w:pPr>
        <w:keepNext w:val="0"/>
        <w:keepLines w:val="0"/>
        <w:pageBreakBefore w:val="0"/>
        <w:widowControl/>
        <w:shd w:val="clear"/>
        <w:kinsoku/>
        <w:wordWrap/>
        <w:overflowPunct/>
        <w:topLinePunct w:val="0"/>
        <w:autoSpaceDE/>
        <w:autoSpaceDN/>
        <w:bidi w:val="0"/>
        <w:adjustRightInd/>
        <w:snapToGrid/>
        <w:spacing w:after="0" w:line="600" w:lineRule="exact"/>
        <w:ind w:firstLine="602"/>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b/>
          <w:color w:val="auto"/>
          <w:sz w:val="32"/>
          <w:szCs w:val="32"/>
          <w:highlight w:val="none"/>
          <w:u w:val="single"/>
        </w:rPr>
        <w:t>理论/实验课程</w:t>
      </w:r>
      <w:r>
        <w:rPr>
          <w:rFonts w:hint="eastAsia" w:ascii="Times New Roman" w:hAnsi="Times New Roman" w:eastAsia="仿宋" w:cs="Times New Roman"/>
          <w:color w:val="auto"/>
          <w:sz w:val="32"/>
          <w:szCs w:val="32"/>
          <w:highlight w:val="none"/>
        </w:rPr>
        <w:t>：按照学校教学文件归档要求，以电子文件归档的课程考核材料。参考要求如下：该课程本年度考核要求（如试题、作业，小论文、实验报告等）、课程评分标准、学生考核成绩记录和总成绩清单，学生考卷、作业、实验报告样本等考核资料，以及考核评价依据合理性审核记录和课程目标达成评价报告。</w:t>
      </w:r>
    </w:p>
    <w:p w14:paraId="52AE2160">
      <w:pPr>
        <w:keepNext w:val="0"/>
        <w:keepLines w:val="0"/>
        <w:pageBreakBefore w:val="0"/>
        <w:widowControl/>
        <w:shd w:val="clear"/>
        <w:kinsoku/>
        <w:wordWrap/>
        <w:overflowPunct/>
        <w:topLinePunct w:val="0"/>
        <w:autoSpaceDE/>
        <w:autoSpaceDN/>
        <w:bidi w:val="0"/>
        <w:adjustRightInd/>
        <w:snapToGrid/>
        <w:spacing w:after="0" w:line="600" w:lineRule="exact"/>
        <w:ind w:firstLine="602"/>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b/>
          <w:color w:val="auto"/>
          <w:sz w:val="32"/>
          <w:szCs w:val="32"/>
          <w:highlight w:val="none"/>
          <w:u w:val="single"/>
        </w:rPr>
        <w:t>毕业设计</w:t>
      </w:r>
      <w:r>
        <w:rPr>
          <w:rFonts w:hint="eastAsia" w:ascii="Times New Roman" w:hAnsi="Times New Roman" w:eastAsia="仿宋" w:cs="Times New Roman"/>
          <w:b/>
          <w:color w:val="auto"/>
          <w:sz w:val="32"/>
          <w:szCs w:val="32"/>
          <w:highlight w:val="none"/>
          <w:u w:val="single"/>
          <w:lang w:eastAsia="zh-CN"/>
        </w:rPr>
        <w:t>（</w:t>
      </w:r>
      <w:r>
        <w:rPr>
          <w:rFonts w:hint="eastAsia" w:ascii="Times New Roman" w:hAnsi="Times New Roman" w:eastAsia="仿宋" w:cs="Times New Roman"/>
          <w:b/>
          <w:color w:val="auto"/>
          <w:sz w:val="32"/>
          <w:szCs w:val="32"/>
          <w:highlight w:val="none"/>
          <w:u w:val="single"/>
        </w:rPr>
        <w:t>论文</w:t>
      </w:r>
      <w:r>
        <w:rPr>
          <w:rFonts w:hint="eastAsia" w:ascii="Times New Roman" w:hAnsi="Times New Roman" w:eastAsia="仿宋" w:cs="Times New Roman"/>
          <w:b/>
          <w:color w:val="auto"/>
          <w:sz w:val="32"/>
          <w:szCs w:val="32"/>
          <w:highlight w:val="none"/>
          <w:u w:val="single"/>
          <w:lang w:eastAsia="zh-CN"/>
        </w:rPr>
        <w:t>）</w:t>
      </w:r>
      <w:r>
        <w:rPr>
          <w:rFonts w:hint="eastAsia" w:ascii="Times New Roman" w:hAnsi="Times New Roman" w:eastAsia="仿宋" w:cs="Times New Roman"/>
          <w:color w:val="auto"/>
          <w:sz w:val="32"/>
          <w:szCs w:val="32"/>
          <w:highlight w:val="none"/>
        </w:rPr>
        <w:t>：按照学校教学文件归档要求，以电子文件归档的毕业设计（论文）相关材料。参考要求如下：任务书、开题报告、文献翻译（原文+译文）、毕业（论文）设计文本，以及中期检查、各类评阅记录、答辩记录、成绩等电子文档，以及考核评价依据合理性审核记录和课程目标达成评价报告。</w:t>
      </w:r>
    </w:p>
    <w:p w14:paraId="728A98C2">
      <w:pPr>
        <w:keepNext w:val="0"/>
        <w:keepLines w:val="0"/>
        <w:pageBreakBefore w:val="0"/>
        <w:widowControl/>
        <w:shd w:val="clear"/>
        <w:kinsoku/>
        <w:wordWrap/>
        <w:overflowPunct/>
        <w:topLinePunct w:val="0"/>
        <w:autoSpaceDE/>
        <w:autoSpaceDN/>
        <w:bidi w:val="0"/>
        <w:adjustRightInd/>
        <w:snapToGrid/>
        <w:spacing w:after="0" w:line="600" w:lineRule="exact"/>
        <w:ind w:firstLine="602"/>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b/>
          <w:color w:val="auto"/>
          <w:sz w:val="32"/>
          <w:szCs w:val="32"/>
          <w:highlight w:val="none"/>
          <w:u w:val="single"/>
        </w:rPr>
        <w:t>课程/综合设计</w:t>
      </w:r>
      <w:r>
        <w:rPr>
          <w:rFonts w:hint="eastAsia" w:ascii="Times New Roman" w:hAnsi="Times New Roman" w:eastAsia="仿宋" w:cs="Times New Roman"/>
          <w:color w:val="auto"/>
          <w:sz w:val="32"/>
          <w:szCs w:val="32"/>
          <w:highlight w:val="none"/>
        </w:rPr>
        <w:t>：按照学校教学文件归档要求，以电子文件归档的课程/综合设计报告及相关材料。参考要求如下：设计任务书、设计报告文本和图纸、评阅记录、答辩记录、成绩等电子文档，以及考核评价依据合理性审核记录和课程目标达成评价报告。</w:t>
      </w:r>
    </w:p>
    <w:p w14:paraId="6E3259E5">
      <w:pPr>
        <w:keepNext w:val="0"/>
        <w:keepLines w:val="0"/>
        <w:pageBreakBefore w:val="0"/>
        <w:widowControl/>
        <w:shd w:val="clear"/>
        <w:kinsoku/>
        <w:wordWrap/>
        <w:overflowPunct/>
        <w:topLinePunct w:val="0"/>
        <w:autoSpaceDE/>
        <w:autoSpaceDN/>
        <w:bidi w:val="0"/>
        <w:adjustRightInd/>
        <w:snapToGrid/>
        <w:spacing w:after="0" w:line="600" w:lineRule="exact"/>
        <w:ind w:firstLine="602"/>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b/>
          <w:color w:val="auto"/>
          <w:sz w:val="32"/>
          <w:szCs w:val="32"/>
          <w:highlight w:val="none"/>
          <w:u w:val="single"/>
        </w:rPr>
        <w:t>实习类</w:t>
      </w:r>
      <w:r>
        <w:rPr>
          <w:rFonts w:hint="eastAsia" w:ascii="Times New Roman" w:hAnsi="Times New Roman" w:eastAsia="仿宋" w:cs="Times New Roman"/>
          <w:color w:val="auto"/>
          <w:sz w:val="32"/>
          <w:szCs w:val="32"/>
          <w:highlight w:val="none"/>
        </w:rPr>
        <w:t>：按照学校教学文件归档要求，以电子文件归档的实习报告及相关材料。参考要求如下：学生的实习日记、实习报告、成绩评阅记录等电子文档，同时提供教学大纲、教学日历等文件，以及考核评价依据合理性审核记录和课程目标达成评价报告。</w:t>
      </w:r>
    </w:p>
    <w:p w14:paraId="70BFED46">
      <w:pPr>
        <w:keepNext w:val="0"/>
        <w:keepLines w:val="0"/>
        <w:pageBreakBefore w:val="0"/>
        <w:widowControl/>
        <w:shd w:val="clear"/>
        <w:kinsoku/>
        <w:wordWrap/>
        <w:overflowPunct/>
        <w:topLinePunct w:val="0"/>
        <w:autoSpaceDE/>
        <w:autoSpaceDN/>
        <w:bidi w:val="0"/>
        <w:adjustRightInd/>
        <w:snapToGrid/>
        <w:spacing w:after="0" w:line="600" w:lineRule="exact"/>
        <w:ind w:firstLine="602"/>
        <w:textAlignment w:val="auto"/>
        <w:rPr>
          <w:rFonts w:hint="default" w:ascii="Times New Roman" w:hAnsi="Times New Roman" w:eastAsia="黑体" w:cs="Times New Roman"/>
          <w:color w:val="C00000"/>
          <w:kern w:val="0"/>
          <w:sz w:val="32"/>
          <w:szCs w:val="32"/>
          <w:highlight w:val="none"/>
        </w:rPr>
      </w:pPr>
      <w:r>
        <w:rPr>
          <w:rFonts w:hint="default" w:ascii="Times New Roman" w:hAnsi="Times New Roman" w:eastAsia="仿宋" w:cs="Times New Roman"/>
          <w:color w:val="auto"/>
          <w:sz w:val="32"/>
          <w:szCs w:val="32"/>
          <w:highlight w:val="none"/>
        </w:rPr>
        <w:t>以上报备材料中，实验、毕业设计（论文）、实习、课程设计等提交学生报告的环节，以优、良、中、及格、不及格等各等次分别提交</w:t>
      </w:r>
      <w:r>
        <w:rPr>
          <w:rFonts w:hint="eastAsia"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份样本。</w:t>
      </w:r>
    </w:p>
    <w:p w14:paraId="2076ACDE">
      <w:pPr>
        <w:keepNext w:val="0"/>
        <w:keepLines w:val="0"/>
        <w:pageBreakBefore w:val="0"/>
        <w:widowControl/>
        <w:shd w:val="clear"/>
        <w:kinsoku/>
        <w:wordWrap/>
        <w:overflowPunct/>
        <w:topLinePunct w:val="0"/>
        <w:autoSpaceDE/>
        <w:autoSpaceDN/>
        <w:bidi w:val="0"/>
        <w:adjustRightInd/>
        <w:snapToGrid/>
        <w:spacing w:after="0" w:line="600" w:lineRule="exact"/>
        <w:ind w:firstLine="602"/>
        <w:textAlignment w:val="auto"/>
        <w:rPr>
          <w:rFonts w:hint="eastAsia"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br w:type="page"/>
      </w:r>
    </w:p>
    <w:p w14:paraId="57FFB271">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附件2</w:t>
      </w:r>
    </w:p>
    <w:p w14:paraId="759D3BC8">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hint="default" w:ascii="Times New Roman" w:hAnsi="Times New Roman" w:eastAsia="黑体" w:cs="Times New Roman"/>
          <w:b w:val="0"/>
          <w:bCs/>
          <w:color w:val="auto"/>
          <w:sz w:val="32"/>
          <w:szCs w:val="32"/>
          <w:highlight w:val="none"/>
        </w:rPr>
      </w:pPr>
    </w:p>
    <w:p w14:paraId="24ECBC88">
      <w:pPr>
        <w:keepNext w:val="0"/>
        <w:keepLines w:val="0"/>
        <w:pageBreakBefore w:val="0"/>
        <w:widowControl/>
        <w:shd w:val="clear"/>
        <w:kinsoku/>
        <w:overflowPunct/>
        <w:topLinePunct w:val="0"/>
        <w:autoSpaceDE/>
        <w:autoSpaceDN/>
        <w:bidi w:val="0"/>
        <w:adjustRightInd/>
        <w:snapToGrid/>
        <w:spacing w:after="0" w:line="600" w:lineRule="exact"/>
        <w:ind w:firstLine="0" w:firstLineChars="0"/>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工程教育认证持续改进情况报告（202</w:t>
      </w:r>
      <w:r>
        <w:rPr>
          <w:rFonts w:hint="eastAsia" w:ascii="方正小标宋简体" w:hAnsi="方正小标宋简体" w:eastAsia="方正小标宋简体" w:cs="方正小标宋简体"/>
          <w:b w:val="0"/>
          <w:bCs/>
          <w:color w:val="auto"/>
          <w:sz w:val="44"/>
          <w:szCs w:val="44"/>
          <w:highlight w:val="none"/>
          <w:lang w:val="en-US" w:eastAsia="zh-CN"/>
        </w:rPr>
        <w:t>5</w:t>
      </w:r>
      <w:r>
        <w:rPr>
          <w:rFonts w:hint="eastAsia" w:ascii="方正小标宋简体" w:hAnsi="方正小标宋简体" w:eastAsia="方正小标宋简体" w:cs="方正小标宋简体"/>
          <w:b w:val="0"/>
          <w:bCs/>
          <w:color w:val="auto"/>
          <w:sz w:val="44"/>
          <w:szCs w:val="44"/>
          <w:highlight w:val="none"/>
        </w:rPr>
        <w:t>版）</w:t>
      </w:r>
    </w:p>
    <w:p w14:paraId="76A2A726">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ascii="Times New Roman" w:hAnsi="Times New Roman" w:eastAsia="仿宋" w:cs="Times New Roman"/>
          <w:b/>
          <w:bCs/>
          <w:color w:val="auto"/>
          <w:sz w:val="28"/>
          <w:szCs w:val="24"/>
          <w:highlight w:val="none"/>
        </w:rPr>
      </w:pPr>
    </w:p>
    <w:p w14:paraId="7FDC8E77">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中国工程教育专业认证协会秘书处：</w:t>
      </w:r>
    </w:p>
    <w:p w14:paraId="28031AC7">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ascii="Times New Roman" w:hAnsi="Times New Roman" w:eastAsia="仿宋" w:cs="Times New Roman"/>
          <w:color w:val="auto"/>
          <w:sz w:val="30"/>
          <w:szCs w:val="30"/>
          <w:highlight w:val="none"/>
        </w:rPr>
      </w:pPr>
    </w:p>
    <w:p w14:paraId="7E064829">
      <w:pPr>
        <w:keepNext w:val="0"/>
        <w:keepLines w:val="0"/>
        <w:pageBreakBefore w:val="0"/>
        <w:shd w:val="clear"/>
        <w:kinsoku/>
        <w:overflowPunct/>
        <w:topLinePunct w:val="0"/>
        <w:autoSpaceDE/>
        <w:autoSpaceDN/>
        <w:bidi w:val="0"/>
        <w:adjustRightInd/>
        <w:snapToGrid/>
        <w:spacing w:after="0" w:line="540" w:lineRule="exact"/>
        <w:ind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根据《工程教育认证工作规范》有关认证工作的规定，我校以下专业于</w:t>
      </w:r>
      <w:r>
        <w:rPr>
          <w:rFonts w:hint="eastAsia" w:ascii="Times New Roman" w:hAnsi="Times New Roman" w:eastAsia="仿宋" w:cs="Times New Roman"/>
          <w:color w:val="auto"/>
          <w:sz w:val="30"/>
          <w:szCs w:val="30"/>
          <w:highlight w:val="none"/>
          <w:u w:val="single"/>
        </w:rPr>
        <w:t xml:space="preserve">      </w:t>
      </w:r>
      <w:r>
        <w:rPr>
          <w:rFonts w:hint="eastAsia" w:ascii="Times New Roman" w:hAnsi="Times New Roman" w:eastAsia="仿宋" w:cs="Times New Roman"/>
          <w:color w:val="auto"/>
          <w:sz w:val="30"/>
          <w:szCs w:val="30"/>
          <w:highlight w:val="none"/>
        </w:rPr>
        <w:t>年</w:t>
      </w:r>
      <w:r>
        <w:rPr>
          <w:rFonts w:hint="eastAsia" w:ascii="Times New Roman" w:hAnsi="Times New Roman" w:eastAsia="仿宋" w:cs="Times New Roman"/>
          <w:color w:val="auto"/>
          <w:sz w:val="30"/>
          <w:szCs w:val="30"/>
          <w:highlight w:val="none"/>
          <w:u w:val="single"/>
        </w:rPr>
        <w:t xml:space="preserve">    </w:t>
      </w:r>
      <w:r>
        <w:rPr>
          <w:rFonts w:hint="eastAsia" w:ascii="Times New Roman" w:hAnsi="Times New Roman" w:eastAsia="仿宋" w:cs="Times New Roman"/>
          <w:color w:val="auto"/>
          <w:sz w:val="30"/>
          <w:szCs w:val="30"/>
          <w:highlight w:val="none"/>
        </w:rPr>
        <w:t>月通过认证，认证结论为：</w:t>
      </w:r>
      <w:r>
        <w:rPr>
          <w:rFonts w:hint="eastAsia" w:ascii="Times New Roman" w:hAnsi="Times New Roman" w:eastAsia="仿宋" w:cs="Times New Roman"/>
          <w:color w:val="auto"/>
          <w:sz w:val="30"/>
          <w:szCs w:val="30"/>
          <w:highlight w:val="none"/>
          <w:u w:val="single"/>
        </w:rPr>
        <w:t xml:space="preserve">               </w:t>
      </w:r>
      <w:r>
        <w:rPr>
          <w:rFonts w:hint="eastAsia" w:ascii="Times New Roman" w:hAnsi="Times New Roman" w:eastAsia="仿宋" w:cs="Times New Roman"/>
          <w:color w:val="auto"/>
          <w:sz w:val="30"/>
          <w:szCs w:val="30"/>
          <w:highlight w:val="none"/>
        </w:rPr>
        <w:t>。经过3年的持续改进与建设，现提交工程教育认证持续改进情况报告，请予以审核。</w:t>
      </w:r>
    </w:p>
    <w:p w14:paraId="2ED58D62">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学校名称：                       </w:t>
      </w:r>
    </w:p>
    <w:p w14:paraId="50A7A238">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专业名称：                       </w:t>
      </w:r>
    </w:p>
    <w:p w14:paraId="3C474623">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认证结论：</w:t>
      </w:r>
    </w:p>
    <w:p w14:paraId="19FCB342">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认证有效期起止时间：             </w:t>
      </w:r>
    </w:p>
    <w:p w14:paraId="08870899">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专业负责人：                     </w:t>
      </w:r>
    </w:p>
    <w:p w14:paraId="4837180D">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联系电话：                       </w:t>
      </w:r>
    </w:p>
    <w:p w14:paraId="0043A8BA">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专业联系人：                     </w:t>
      </w:r>
    </w:p>
    <w:p w14:paraId="23B29BF4">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联系电话：                       </w:t>
      </w:r>
    </w:p>
    <w:p w14:paraId="6F4445B7">
      <w:pPr>
        <w:keepNext w:val="0"/>
        <w:keepLines w:val="0"/>
        <w:pageBreakBefore w:val="0"/>
        <w:shd w:val="clear"/>
        <w:kinsoku/>
        <w:overflowPunct/>
        <w:topLinePunct w:val="0"/>
        <w:autoSpaceDE/>
        <w:autoSpaceDN/>
        <w:bidi w:val="0"/>
        <w:adjustRightInd/>
        <w:snapToGrid/>
        <w:spacing w:after="0" w:line="540" w:lineRule="exact"/>
        <w:ind w:left="574" w:firstLine="735" w:firstLineChars="245"/>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E-mail地址：                     </w:t>
      </w:r>
    </w:p>
    <w:p w14:paraId="1A427058">
      <w:pPr>
        <w:keepNext w:val="0"/>
        <w:keepLines w:val="0"/>
        <w:pageBreakBefore w:val="0"/>
        <w:shd w:val="clear"/>
        <w:kinsoku/>
        <w:overflowPunct/>
        <w:topLinePunct w:val="0"/>
        <w:autoSpaceDE/>
        <w:autoSpaceDN/>
        <w:bidi w:val="0"/>
        <w:adjustRightInd/>
        <w:snapToGrid/>
        <w:spacing w:after="0" w:line="540" w:lineRule="exact"/>
        <w:ind w:firstLine="738" w:firstLineChars="245"/>
        <w:textAlignment w:val="auto"/>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我校承诺，本报告及所有附件材料完全属实。</w:t>
      </w:r>
    </w:p>
    <w:p w14:paraId="1A5381A0">
      <w:pPr>
        <w:keepNext w:val="0"/>
        <w:keepLines w:val="0"/>
        <w:pageBreakBefore w:val="0"/>
        <w:shd w:val="clear"/>
        <w:kinsoku/>
        <w:overflowPunct/>
        <w:topLinePunct w:val="0"/>
        <w:autoSpaceDE/>
        <w:autoSpaceDN/>
        <w:bidi w:val="0"/>
        <w:adjustRightInd/>
        <w:snapToGrid/>
        <w:spacing w:after="0" w:line="540" w:lineRule="exact"/>
        <w:ind w:right="420" w:firstLine="0" w:firstLineChars="0"/>
        <w:textAlignment w:val="auto"/>
        <w:rPr>
          <w:rFonts w:ascii="Times New Roman" w:hAnsi="Times New Roman" w:eastAsia="仿宋" w:cs="Times New Roman"/>
          <w:color w:val="auto"/>
          <w:sz w:val="30"/>
          <w:szCs w:val="30"/>
          <w:highlight w:val="none"/>
        </w:rPr>
      </w:pPr>
    </w:p>
    <w:p w14:paraId="0FB68193">
      <w:pPr>
        <w:keepNext w:val="0"/>
        <w:keepLines w:val="0"/>
        <w:pageBreakBefore w:val="0"/>
        <w:shd w:val="clear"/>
        <w:kinsoku/>
        <w:overflowPunct/>
        <w:topLinePunct w:val="0"/>
        <w:autoSpaceDE/>
        <w:autoSpaceDN/>
        <w:bidi w:val="0"/>
        <w:adjustRightInd/>
        <w:snapToGrid/>
        <w:spacing w:after="0" w:line="540" w:lineRule="exact"/>
        <w:ind w:left="2940" w:right="420" w:firstLine="300" w:firstLineChars="100"/>
        <w:jc w:val="right"/>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学校负责人签字</w:t>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 xml:space="preserve"> ：</w:t>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 xml:space="preserve">  </w:t>
      </w:r>
      <w:r>
        <w:rPr>
          <w:rFonts w:hint="eastAsia" w:ascii="Times New Roman" w:hAnsi="Times New Roman" w:eastAsia="仿宋" w:cs="Times New Roman"/>
          <w:color w:val="auto"/>
          <w:sz w:val="30"/>
          <w:szCs w:val="30"/>
          <w:highlight w:val="none"/>
        </w:rPr>
        <w:tab/>
      </w:r>
    </w:p>
    <w:p w14:paraId="549EE980">
      <w:pPr>
        <w:keepNext w:val="0"/>
        <w:keepLines w:val="0"/>
        <w:pageBreakBefore w:val="0"/>
        <w:shd w:val="clear"/>
        <w:kinsoku/>
        <w:wordWrap w:val="0"/>
        <w:overflowPunct/>
        <w:topLinePunct w:val="0"/>
        <w:autoSpaceDE/>
        <w:autoSpaceDN/>
        <w:bidi w:val="0"/>
        <w:adjustRightInd/>
        <w:snapToGrid/>
        <w:spacing w:after="0" w:line="540" w:lineRule="exact"/>
        <w:ind w:left="3360" w:right="420" w:firstLine="450" w:firstLineChars="150"/>
        <w:jc w:val="right"/>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学校（盖章） ：</w:t>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 xml:space="preserve"> </w:t>
      </w:r>
    </w:p>
    <w:p w14:paraId="2713B849">
      <w:pPr>
        <w:keepNext w:val="0"/>
        <w:keepLines w:val="0"/>
        <w:pageBreakBefore w:val="0"/>
        <w:widowControl/>
        <w:shd w:val="clear"/>
        <w:kinsoku/>
        <w:overflowPunct/>
        <w:topLinePunct w:val="0"/>
        <w:autoSpaceDE/>
        <w:autoSpaceDN/>
        <w:bidi w:val="0"/>
        <w:adjustRightInd/>
        <w:snapToGrid/>
        <w:spacing w:after="0" w:line="540" w:lineRule="exact"/>
        <w:ind w:left="3780" w:firstLine="420" w:firstLineChars="0"/>
        <w:textAlignment w:val="auto"/>
        <w:rPr>
          <w:rFonts w:ascii="Times New Roman" w:hAnsi="Times New Roman" w:eastAsia="仿宋" w:cs="Times New Roman"/>
          <w:b/>
          <w:color w:val="auto"/>
          <w:sz w:val="24"/>
          <w:szCs w:val="24"/>
          <w:highlight w:val="none"/>
        </w:rPr>
      </w:pPr>
      <w:r>
        <w:rPr>
          <w:rFonts w:hint="eastAsia" w:ascii="Times New Roman" w:hAnsi="Times New Roman" w:eastAsia="仿宋" w:cs="Times New Roman"/>
          <w:color w:val="auto"/>
          <w:sz w:val="30"/>
          <w:szCs w:val="30"/>
          <w:highlight w:val="none"/>
        </w:rPr>
        <w:t>年    月    日</w:t>
      </w:r>
      <w:r>
        <w:rPr>
          <w:rFonts w:hint="eastAsia" w:ascii="Times New Roman" w:hAnsi="Times New Roman" w:eastAsia="仿宋" w:cs="Times New Roman"/>
          <w:b/>
          <w:color w:val="auto"/>
          <w:sz w:val="24"/>
          <w:szCs w:val="24"/>
          <w:highlight w:val="none"/>
        </w:rPr>
        <w:br w:type="page"/>
      </w:r>
    </w:p>
    <w:p w14:paraId="75678A21">
      <w:pPr>
        <w:widowControl/>
        <w:shd w:val="clear"/>
        <w:adjustRightInd w:val="0"/>
        <w:snapToGrid w:val="0"/>
        <w:spacing w:after="156" w:afterLines="50"/>
        <w:ind w:firstLine="0" w:firstLineChars="0"/>
        <w:rPr>
          <w:rFonts w:ascii="Times New Roman" w:hAnsi="Times New Roman" w:eastAsia="仿宋" w:cs="Times New Roman"/>
          <w:b/>
          <w:color w:val="auto"/>
          <w:spacing w:val="-6"/>
          <w:sz w:val="24"/>
          <w:szCs w:val="24"/>
          <w:highlight w:val="none"/>
        </w:rPr>
      </w:pPr>
    </w:p>
    <w:p w14:paraId="369979F6">
      <w:pPr>
        <w:widowControl/>
        <w:shd w:val="clear"/>
        <w:adjustRightInd w:val="0"/>
        <w:snapToGrid w:val="0"/>
        <w:spacing w:after="156" w:afterLines="50"/>
        <w:ind w:firstLine="0" w:firstLineChars="0"/>
        <w:rPr>
          <w:rFonts w:ascii="Times New Roman" w:hAnsi="Times New Roman" w:eastAsia="黑体" w:cs="Times New Roman"/>
          <w:b/>
          <w:color w:val="auto"/>
          <w:spacing w:val="-6"/>
          <w:sz w:val="30"/>
          <w:szCs w:val="30"/>
          <w:highlight w:val="none"/>
        </w:rPr>
      </w:pPr>
      <w:r>
        <w:rPr>
          <w:rFonts w:hint="eastAsia" w:ascii="Times New Roman" w:hAnsi="Times New Roman" w:eastAsia="黑体" w:cs="Times New Roman"/>
          <w:b/>
          <w:color w:val="auto"/>
          <w:spacing w:val="-6"/>
          <w:sz w:val="30"/>
          <w:szCs w:val="30"/>
          <w:highlight w:val="none"/>
        </w:rPr>
        <w:t>填写说明：</w:t>
      </w:r>
    </w:p>
    <w:p w14:paraId="013BC3E2">
      <w:pPr>
        <w:pStyle w:val="16"/>
        <w:widowControl/>
        <w:numPr>
          <w:ilvl w:val="0"/>
          <w:numId w:val="1"/>
        </w:numPr>
        <w:shd w:val="clear"/>
        <w:adjustRightInd w:val="0"/>
        <w:snapToGrid w:val="0"/>
        <w:spacing w:after="0" w:line="360" w:lineRule="auto"/>
        <w:ind w:firstLineChars="0"/>
        <w:rPr>
          <w:rFonts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pacing w:val="-6"/>
          <w:sz w:val="30"/>
          <w:szCs w:val="30"/>
          <w:highlight w:val="none"/>
        </w:rPr>
        <w:t>报告封面需学校负责人签字、盖校章，否则不予审核；</w:t>
      </w:r>
    </w:p>
    <w:p w14:paraId="257B4E81">
      <w:pPr>
        <w:pStyle w:val="16"/>
        <w:widowControl/>
        <w:numPr>
          <w:ilvl w:val="0"/>
          <w:numId w:val="1"/>
        </w:numPr>
        <w:shd w:val="clear"/>
        <w:adjustRightInd w:val="0"/>
        <w:snapToGrid w:val="0"/>
        <w:spacing w:after="0" w:line="360" w:lineRule="auto"/>
        <w:ind w:firstLineChars="0"/>
        <w:rPr>
          <w:rFonts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pacing w:val="-6"/>
          <w:sz w:val="30"/>
          <w:szCs w:val="30"/>
          <w:highlight w:val="none"/>
        </w:rPr>
        <w:t>字体及段落格式：仿宋、小三，1.5倍行距，首行缩进2字符，两端对齐，段前/后间距为0行；</w:t>
      </w:r>
    </w:p>
    <w:p w14:paraId="3CEB75CF">
      <w:pPr>
        <w:pStyle w:val="16"/>
        <w:widowControl/>
        <w:numPr>
          <w:ilvl w:val="0"/>
          <w:numId w:val="1"/>
        </w:numPr>
        <w:shd w:val="clear"/>
        <w:adjustRightInd w:val="0"/>
        <w:snapToGrid w:val="0"/>
        <w:spacing w:after="0" w:line="360" w:lineRule="auto"/>
        <w:ind w:firstLineChars="0"/>
        <w:rPr>
          <w:rFonts w:hint="eastAsia"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z w:val="30"/>
          <w:szCs w:val="30"/>
          <w:highlight w:val="none"/>
        </w:rPr>
        <w:t>专业应针对认证报告中提出的问题及关注项，如实描述专业改进情况；如某指标项在认证报告中未提出问题及关注项，则填写“无”。文件只列出指标</w:t>
      </w:r>
      <w:r>
        <w:rPr>
          <w:rFonts w:hint="eastAsia" w:ascii="Times New Roman" w:hAnsi="Times New Roman" w:eastAsia="仿宋" w:cs="Times New Roman"/>
          <w:color w:val="auto"/>
          <w:spacing w:val="-6"/>
          <w:sz w:val="30"/>
          <w:szCs w:val="30"/>
          <w:highlight w:val="none"/>
        </w:rPr>
        <w:t>项“1.学生”</w:t>
      </w:r>
      <w:r>
        <w:rPr>
          <w:rFonts w:hint="eastAsia" w:ascii="Times New Roman" w:hAnsi="Times New Roman" w:eastAsia="仿宋" w:cs="Times New Roman"/>
          <w:color w:val="auto"/>
          <w:sz w:val="30"/>
          <w:szCs w:val="30"/>
          <w:highlight w:val="none"/>
          <w:lang w:val="en-US" w:eastAsia="zh-CN"/>
        </w:rPr>
        <w:t>部分示例</w:t>
      </w:r>
      <w:r>
        <w:rPr>
          <w:rFonts w:hint="eastAsia" w:ascii="Times New Roman" w:hAnsi="Times New Roman" w:eastAsia="仿宋" w:cs="Times New Roman"/>
          <w:color w:val="auto"/>
          <w:spacing w:val="-6"/>
          <w:sz w:val="30"/>
          <w:szCs w:val="30"/>
          <w:highlight w:val="none"/>
        </w:rPr>
        <w:t>，其余指标项</w:t>
      </w:r>
      <w:r>
        <w:rPr>
          <w:rFonts w:hint="eastAsia" w:ascii="Times New Roman" w:hAnsi="Times New Roman" w:eastAsia="仿宋" w:cs="Times New Roman"/>
          <w:color w:val="auto"/>
          <w:sz w:val="30"/>
          <w:szCs w:val="30"/>
          <w:highlight w:val="none"/>
          <w:lang w:val="en-US" w:eastAsia="zh-CN"/>
        </w:rPr>
        <w:t>根据实际情况</w:t>
      </w:r>
      <w:r>
        <w:rPr>
          <w:rFonts w:hint="eastAsia" w:ascii="Times New Roman" w:hAnsi="Times New Roman" w:eastAsia="仿宋" w:cs="Times New Roman"/>
          <w:color w:val="auto"/>
          <w:sz w:val="30"/>
          <w:szCs w:val="30"/>
          <w:highlight w:val="none"/>
        </w:rPr>
        <w:t>参</w:t>
      </w:r>
      <w:r>
        <w:rPr>
          <w:rFonts w:hint="eastAsia" w:ascii="Times New Roman" w:hAnsi="Times New Roman" w:eastAsia="仿宋" w:cs="Times New Roman"/>
          <w:color w:val="auto"/>
          <w:spacing w:val="-6"/>
          <w:sz w:val="30"/>
          <w:szCs w:val="30"/>
          <w:highlight w:val="none"/>
        </w:rPr>
        <w:t>照填写；</w:t>
      </w:r>
    </w:p>
    <w:p w14:paraId="076DB8D0">
      <w:pPr>
        <w:pStyle w:val="16"/>
        <w:widowControl/>
        <w:numPr>
          <w:ilvl w:val="0"/>
          <w:numId w:val="1"/>
        </w:numPr>
        <w:shd w:val="clear"/>
        <w:adjustRightInd w:val="0"/>
        <w:snapToGrid w:val="0"/>
        <w:spacing w:after="0" w:line="360" w:lineRule="auto"/>
        <w:ind w:firstLineChars="0"/>
        <w:rPr>
          <w:rFonts w:hint="eastAsia"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pacing w:val="-6"/>
          <w:sz w:val="30"/>
          <w:szCs w:val="30"/>
          <w:highlight w:val="none"/>
        </w:rPr>
        <w:t>专业应论述近三年面向产出的内部评价机制的完善和运行情况说明</w:t>
      </w:r>
      <w:r>
        <w:rPr>
          <w:rFonts w:hint="eastAsia" w:ascii="Times New Roman" w:hAnsi="Times New Roman" w:eastAsia="仿宋" w:cs="Times New Roman"/>
          <w:color w:val="auto"/>
          <w:spacing w:val="-6"/>
          <w:sz w:val="30"/>
          <w:szCs w:val="30"/>
          <w:highlight w:val="none"/>
          <w:lang w:val="en-US" w:eastAsia="zh-CN"/>
        </w:rPr>
        <w:t>（主要</w:t>
      </w:r>
      <w:r>
        <w:rPr>
          <w:rFonts w:hint="eastAsia" w:ascii="Times New Roman" w:hAnsi="Times New Roman" w:eastAsia="仿宋" w:cs="Times New Roman"/>
          <w:color w:val="auto"/>
          <w:spacing w:val="-6"/>
          <w:sz w:val="30"/>
          <w:szCs w:val="30"/>
          <w:highlight w:val="none"/>
          <w:lang w:val="en-AU" w:eastAsia="zh-CN"/>
        </w:rPr>
        <w:t>说明课程目标、毕业要求达成评价，以及其他质量监控机制的完善和运行情况</w:t>
      </w:r>
      <w:r>
        <w:rPr>
          <w:rFonts w:hint="eastAsia" w:ascii="Times New Roman" w:hAnsi="Times New Roman" w:eastAsia="仿宋" w:cs="Times New Roman"/>
          <w:color w:val="auto"/>
          <w:spacing w:val="-6"/>
          <w:sz w:val="30"/>
          <w:szCs w:val="30"/>
          <w:highlight w:val="none"/>
          <w:lang w:val="en-US" w:eastAsia="zh-CN"/>
        </w:rPr>
        <w:t>）</w:t>
      </w:r>
      <w:r>
        <w:rPr>
          <w:rFonts w:hint="eastAsia" w:ascii="Times New Roman" w:hAnsi="Times New Roman" w:eastAsia="仿宋" w:cs="Times New Roman"/>
          <w:color w:val="auto"/>
          <w:spacing w:val="-6"/>
          <w:sz w:val="30"/>
          <w:szCs w:val="30"/>
          <w:highlight w:val="none"/>
        </w:rPr>
        <w:t>，并提供佐证和支撑材料；</w:t>
      </w:r>
    </w:p>
    <w:p w14:paraId="52954427">
      <w:pPr>
        <w:pStyle w:val="16"/>
        <w:widowControl/>
        <w:numPr>
          <w:ilvl w:val="0"/>
          <w:numId w:val="1"/>
        </w:numPr>
        <w:shd w:val="clear"/>
        <w:adjustRightInd w:val="0"/>
        <w:snapToGrid w:val="0"/>
        <w:spacing w:after="0" w:line="360" w:lineRule="auto"/>
        <w:ind w:firstLineChars="0"/>
        <w:rPr>
          <w:rFonts w:hint="eastAsia"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pacing w:val="-6"/>
          <w:sz w:val="30"/>
          <w:szCs w:val="30"/>
          <w:highlight w:val="none"/>
          <w:lang w:val="en-US" w:eastAsia="zh-CN"/>
        </w:rPr>
        <w:t>专业近三年如发生重大变化应说明具体情况</w:t>
      </w:r>
      <w:r>
        <w:rPr>
          <w:rFonts w:hint="eastAsia" w:ascii="Times New Roman" w:hAnsi="Times New Roman" w:eastAsia="仿宋" w:cs="Times New Roman"/>
          <w:color w:val="auto"/>
          <w:spacing w:val="-6"/>
          <w:sz w:val="30"/>
          <w:szCs w:val="30"/>
          <w:highlight w:val="none"/>
        </w:rPr>
        <w:t>；</w:t>
      </w:r>
    </w:p>
    <w:p w14:paraId="73E5B01E">
      <w:pPr>
        <w:pStyle w:val="16"/>
        <w:widowControl/>
        <w:numPr>
          <w:ilvl w:val="0"/>
          <w:numId w:val="1"/>
        </w:numPr>
        <w:shd w:val="clear"/>
        <w:adjustRightInd w:val="0"/>
        <w:snapToGrid w:val="0"/>
        <w:spacing w:after="0" w:line="360" w:lineRule="auto"/>
        <w:ind w:firstLineChars="0"/>
        <w:rPr>
          <w:rFonts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pacing w:val="-6"/>
          <w:sz w:val="30"/>
          <w:szCs w:val="30"/>
          <w:highlight w:val="none"/>
        </w:rPr>
        <w:t>报告内容应突出重点，简洁清晰。</w:t>
      </w:r>
    </w:p>
    <w:p w14:paraId="0903D865">
      <w:pPr>
        <w:pStyle w:val="16"/>
        <w:widowControl/>
        <w:numPr>
          <w:ilvl w:val="0"/>
          <w:numId w:val="1"/>
        </w:numPr>
        <w:shd w:val="clear"/>
        <w:adjustRightInd w:val="0"/>
        <w:snapToGrid w:val="0"/>
        <w:spacing w:after="0" w:line="360" w:lineRule="auto"/>
        <w:ind w:firstLineChars="0"/>
        <w:rPr>
          <w:rFonts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pacing w:val="-6"/>
          <w:sz w:val="30"/>
          <w:szCs w:val="30"/>
          <w:highlight w:val="none"/>
        </w:rPr>
        <w:br w:type="page"/>
      </w:r>
    </w:p>
    <w:p w14:paraId="5B6755FF">
      <w:pPr>
        <w:shd w:val="clear"/>
        <w:adjustRightInd w:val="0"/>
        <w:snapToGrid w:val="0"/>
        <w:spacing w:after="156" w:afterLines="50"/>
        <w:ind w:firstLine="0" w:firstLineChars="0"/>
        <w:rPr>
          <w:rFonts w:ascii="Times New Roman" w:hAnsi="Times New Roman" w:eastAsia="黑体" w:cs="Times New Roman"/>
          <w:b/>
          <w:color w:val="auto"/>
          <w:sz w:val="30"/>
          <w:szCs w:val="30"/>
          <w:highlight w:val="none"/>
        </w:rPr>
      </w:pPr>
      <w:r>
        <w:rPr>
          <w:rFonts w:hint="eastAsia" w:ascii="Times New Roman" w:hAnsi="Times New Roman" w:eastAsia="黑体" w:cs="Times New Roman"/>
          <w:b/>
          <w:color w:val="auto"/>
          <w:sz w:val="30"/>
          <w:szCs w:val="30"/>
          <w:highlight w:val="none"/>
        </w:rPr>
        <w:t>一、专业情况简介</w:t>
      </w:r>
    </w:p>
    <w:p w14:paraId="35831F44">
      <w:pPr>
        <w:shd w:val="clear"/>
        <w:adjustRightInd w:val="0"/>
        <w:snapToGrid w:val="0"/>
        <w:spacing w:after="0"/>
        <w:ind w:firstLine="0" w:firstLineChars="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（简要介绍专业与认证相关的基本现状，本轮认证结果，认证有效期起止时间等。限1000字）</w:t>
      </w:r>
    </w:p>
    <w:p w14:paraId="693A5E80">
      <w:pPr>
        <w:shd w:val="clear"/>
        <w:adjustRightInd w:val="0"/>
        <w:snapToGrid w:val="0"/>
        <w:spacing w:after="0"/>
        <w:ind w:firstLine="0" w:firstLineChars="0"/>
        <w:rPr>
          <w:rFonts w:ascii="Times New Roman" w:hAnsi="Times New Roman" w:eastAsia="仿宋" w:cs="Times New Roman"/>
          <w:b/>
          <w:color w:val="auto"/>
          <w:sz w:val="28"/>
          <w:szCs w:val="24"/>
          <w:highlight w:val="none"/>
        </w:rPr>
      </w:pPr>
    </w:p>
    <w:p w14:paraId="100126FA">
      <w:pPr>
        <w:shd w:val="clear"/>
        <w:adjustRightInd w:val="0"/>
        <w:snapToGrid w:val="0"/>
        <w:spacing w:after="0"/>
        <w:ind w:firstLine="0" w:firstLineChars="0"/>
        <w:rPr>
          <w:rFonts w:ascii="Times New Roman" w:hAnsi="Times New Roman" w:eastAsia="黑体" w:cs="Times New Roman"/>
          <w:b/>
          <w:color w:val="auto"/>
          <w:sz w:val="30"/>
          <w:szCs w:val="30"/>
          <w:highlight w:val="none"/>
        </w:rPr>
      </w:pPr>
      <w:r>
        <w:rPr>
          <w:rFonts w:hint="eastAsia" w:ascii="Times New Roman" w:hAnsi="Times New Roman" w:eastAsia="黑体" w:cs="Times New Roman"/>
          <w:b/>
          <w:color w:val="auto"/>
          <w:sz w:val="30"/>
          <w:szCs w:val="30"/>
          <w:highlight w:val="none"/>
        </w:rPr>
        <w:t>二、本轮认证提出的问题、关注项及改进情况</w:t>
      </w:r>
    </w:p>
    <w:p w14:paraId="1EDD8251">
      <w:pPr>
        <w:shd w:val="clear"/>
        <w:adjustRightInd w:val="0"/>
        <w:snapToGrid w:val="0"/>
        <w:spacing w:after="0"/>
        <w:ind w:firstLine="0" w:firstLineChars="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（不包含附件，每个指标项限2000字；如某指标项在认证报告中未提出问题及关注项，则填写“无”）</w:t>
      </w:r>
    </w:p>
    <w:p w14:paraId="7EC62BBC">
      <w:pPr>
        <w:shd w:val="clear"/>
        <w:spacing w:after="0"/>
        <w:ind w:firstLine="602"/>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1．学生</w:t>
      </w:r>
    </w:p>
    <w:p w14:paraId="5E807F08">
      <w:pPr>
        <w:shd w:val="clear"/>
        <w:spacing w:after="0"/>
        <w:ind w:firstLine="0" w:firstLineChars="0"/>
        <w:rPr>
          <w:rFonts w:ascii="Times New Roman" w:hAnsi="Times New Roman" w:eastAsia="仿宋" w:cs="Times New Roman"/>
          <w:bCs/>
          <w:color w:val="auto"/>
          <w:sz w:val="30"/>
          <w:szCs w:val="30"/>
          <w:highlight w:val="none"/>
        </w:rPr>
      </w:pPr>
      <w:r>
        <w:rPr>
          <w:rFonts w:hint="eastAsia" w:ascii="Times New Roman" w:hAnsi="Times New Roman" w:eastAsia="仿宋" w:cs="Times New Roman"/>
          <w:bCs/>
          <w:color w:val="auto"/>
          <w:sz w:val="30"/>
          <w:szCs w:val="30"/>
          <w:highlight w:val="none"/>
        </w:rPr>
        <w:t>【标准内容】1.1 具有吸引优秀生源的制度和措施。</w:t>
      </w:r>
    </w:p>
    <w:p w14:paraId="517D9244">
      <w:pPr>
        <w:shd w:val="clear"/>
        <w:spacing w:after="0"/>
        <w:ind w:firstLine="600"/>
        <w:rPr>
          <w:rFonts w:ascii="Times New Roman" w:hAnsi="Times New Roman" w:eastAsia="仿宋" w:cs="Times New Roman"/>
          <w:bCs/>
          <w:color w:val="auto"/>
          <w:sz w:val="30"/>
          <w:szCs w:val="30"/>
          <w:highlight w:val="none"/>
        </w:rPr>
      </w:pPr>
      <w:r>
        <w:rPr>
          <w:rFonts w:hint="eastAsia" w:ascii="Times New Roman" w:hAnsi="Times New Roman" w:eastAsia="仿宋" w:cs="Times New Roman"/>
          <w:bCs/>
          <w:color w:val="auto"/>
          <w:sz w:val="30"/>
          <w:szCs w:val="30"/>
          <w:highlight w:val="none"/>
        </w:rPr>
        <w:t>标准达成情况：达成。</w:t>
      </w:r>
    </w:p>
    <w:p w14:paraId="5BCFC5B2">
      <w:pPr>
        <w:shd w:val="clear"/>
        <w:spacing w:after="0"/>
        <w:ind w:firstLine="600"/>
        <w:rPr>
          <w:rFonts w:ascii="Times New Roman" w:hAnsi="Times New Roman" w:eastAsia="仿宋" w:cs="Times New Roman"/>
          <w:bCs/>
          <w:color w:val="auto"/>
          <w:sz w:val="30"/>
          <w:szCs w:val="30"/>
          <w:highlight w:val="none"/>
        </w:rPr>
      </w:pPr>
      <w:r>
        <w:rPr>
          <w:rFonts w:hint="eastAsia" w:ascii="Times New Roman" w:hAnsi="Times New Roman" w:eastAsia="仿宋" w:cs="Times New Roman"/>
          <w:bCs/>
          <w:color w:val="auto"/>
          <w:sz w:val="30"/>
          <w:szCs w:val="30"/>
          <w:highlight w:val="none"/>
        </w:rPr>
        <w:t>存在的问题及关注项：无。</w:t>
      </w:r>
    </w:p>
    <w:p w14:paraId="2528BB96">
      <w:pPr>
        <w:shd w:val="clear"/>
        <w:spacing w:after="0"/>
        <w:ind w:firstLine="0" w:firstLineChars="0"/>
        <w:rPr>
          <w:rFonts w:ascii="Times New Roman" w:hAnsi="Times New Roman" w:eastAsia="仿宋" w:cs="Times New Roman"/>
          <w:bCs/>
          <w:color w:val="auto"/>
          <w:sz w:val="30"/>
          <w:szCs w:val="30"/>
          <w:highlight w:val="none"/>
        </w:rPr>
      </w:pPr>
    </w:p>
    <w:p w14:paraId="5968DF42">
      <w:pPr>
        <w:shd w:val="clear"/>
        <w:spacing w:after="0"/>
        <w:ind w:firstLine="0" w:firstLineChars="0"/>
        <w:rPr>
          <w:rFonts w:ascii="Times New Roman" w:hAnsi="Times New Roman" w:eastAsia="仿宋" w:cs="Times New Roman"/>
          <w:bCs/>
          <w:color w:val="auto"/>
          <w:sz w:val="30"/>
          <w:szCs w:val="30"/>
          <w:highlight w:val="none"/>
        </w:rPr>
      </w:pPr>
      <w:r>
        <w:rPr>
          <w:rFonts w:hint="eastAsia" w:ascii="Times New Roman" w:hAnsi="Times New Roman" w:eastAsia="仿宋" w:cs="Times New Roman"/>
          <w:bCs/>
          <w:color w:val="auto"/>
          <w:sz w:val="30"/>
          <w:szCs w:val="30"/>
          <w:highlight w:val="none"/>
        </w:rPr>
        <w:t>【标准内容】1.2 具有学生思政引领、品德培养、学业指导、职业规划、就业指导、心理辅导等方面的制度和措施，并有效落实。</w:t>
      </w:r>
    </w:p>
    <w:p w14:paraId="47A064F9">
      <w:pPr>
        <w:shd w:val="clear"/>
        <w:spacing w:after="0"/>
        <w:ind w:firstLine="60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标准达成情况：达成，存在问题项。</w:t>
      </w:r>
    </w:p>
    <w:p w14:paraId="11092248">
      <w:pPr>
        <w:shd w:val="clear"/>
        <w:spacing w:after="0"/>
        <w:ind w:firstLine="600"/>
        <w:rPr>
          <w:rFonts w:ascii="Times New Roman" w:hAnsi="Times New Roman" w:eastAsia="仿宋" w:cs="Times New Roman"/>
          <w:b/>
          <w:color w:val="auto"/>
          <w:sz w:val="30"/>
          <w:szCs w:val="30"/>
          <w:highlight w:val="none"/>
        </w:rPr>
      </w:pPr>
      <w:r>
        <w:rPr>
          <w:rFonts w:hint="eastAsia" w:ascii="Times New Roman" w:hAnsi="Times New Roman" w:eastAsia="仿宋" w:cs="Times New Roman"/>
          <w:color w:val="auto"/>
          <w:sz w:val="30"/>
          <w:szCs w:val="30"/>
          <w:highlight w:val="none"/>
        </w:rPr>
        <w:t>存在的问题项：内容</w:t>
      </w:r>
      <w:r>
        <w:rPr>
          <w:rFonts w:hint="eastAsia" w:ascii="Times New Roman" w:hAnsi="Times New Roman" w:eastAsia="仿宋" w:cs="Times New Roman"/>
          <w:b/>
          <w:color w:val="auto"/>
          <w:sz w:val="30"/>
          <w:szCs w:val="30"/>
          <w:highlight w:val="none"/>
        </w:rPr>
        <w:t>……</w:t>
      </w:r>
    </w:p>
    <w:p w14:paraId="1D7EF4D1">
      <w:pPr>
        <w:shd w:val="clear"/>
        <w:spacing w:after="0"/>
        <w:ind w:firstLine="0" w:firstLineChars="0"/>
        <w:rPr>
          <w:rFonts w:ascii="Times New Roman" w:hAnsi="Times New Roman" w:eastAsia="仿宋" w:cs="Times New Roman"/>
          <w:b/>
          <w:bCs/>
          <w:color w:val="auto"/>
          <w:sz w:val="30"/>
          <w:szCs w:val="30"/>
          <w:highlight w:val="none"/>
        </w:rPr>
      </w:pPr>
      <w:r>
        <w:rPr>
          <w:rFonts w:hint="eastAsia" w:ascii="Times New Roman" w:hAnsi="Times New Roman" w:eastAsia="仿宋" w:cs="Times New Roman"/>
          <w:b/>
          <w:bCs/>
          <w:color w:val="auto"/>
          <w:sz w:val="30"/>
          <w:szCs w:val="30"/>
          <w:highlight w:val="none"/>
        </w:rPr>
        <w:t>持续改进情况：</w:t>
      </w:r>
    </w:p>
    <w:p w14:paraId="7DD91499">
      <w:pPr>
        <w:shd w:val="clear"/>
        <w:spacing w:after="0"/>
        <w:ind w:firstLine="0" w:firstLineChars="0"/>
        <w:rPr>
          <w:rFonts w:ascii="Times New Roman" w:hAnsi="Times New Roman" w:eastAsia="仿宋" w:cs="Times New Roman"/>
          <w:color w:val="auto"/>
          <w:sz w:val="30"/>
          <w:szCs w:val="30"/>
          <w:highlight w:val="none"/>
        </w:rPr>
      </w:pPr>
      <w:r>
        <w:rPr>
          <w:rFonts w:hint="eastAsia" w:ascii="Times New Roman" w:hAnsi="Times New Roman" w:eastAsia="仿宋" w:cs="Times New Roman"/>
          <w:b/>
          <w:bCs/>
          <w:color w:val="auto"/>
          <w:sz w:val="30"/>
          <w:szCs w:val="30"/>
          <w:highlight w:val="none"/>
        </w:rPr>
        <w:t xml:space="preserve"> </w:t>
      </w:r>
      <w:r>
        <w:rPr>
          <w:rFonts w:hint="eastAsia" w:ascii="Times New Roman" w:hAnsi="Times New Roman" w:eastAsia="仿宋" w:cs="Times New Roman"/>
          <w:color w:val="auto"/>
          <w:sz w:val="30"/>
          <w:szCs w:val="30"/>
          <w:highlight w:val="none"/>
        </w:rPr>
        <w:t xml:space="preserve">   （1）近三年的改进措施</w:t>
      </w:r>
    </w:p>
    <w:p w14:paraId="175A55C0">
      <w:pPr>
        <w:shd w:val="clear"/>
        <w:spacing w:after="0"/>
        <w:ind w:firstLine="608" w:firstLineChars="0"/>
        <w:rPr>
          <w:rFonts w:ascii="Times New Roman" w:hAnsi="Times New Roman" w:eastAsia="仿宋" w:cs="Times New Roman"/>
          <w:color w:val="auto"/>
          <w:sz w:val="30"/>
          <w:szCs w:val="30"/>
          <w:highlight w:val="none"/>
        </w:rPr>
      </w:pPr>
    </w:p>
    <w:p w14:paraId="3A61C5AE">
      <w:pPr>
        <w:shd w:val="clear"/>
        <w:spacing w:after="0"/>
        <w:ind w:firstLine="608" w:firstLineChars="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（2）实施措施取得的成效</w:t>
      </w:r>
    </w:p>
    <w:p w14:paraId="0141B919">
      <w:pPr>
        <w:shd w:val="clear"/>
        <w:spacing w:after="0"/>
        <w:ind w:firstLine="608" w:firstLineChars="0"/>
        <w:rPr>
          <w:rFonts w:hint="eastAsia" w:ascii="Times New Roman" w:hAnsi="Times New Roman" w:eastAsia="仿宋" w:cs="Times New Roman"/>
          <w:color w:val="auto"/>
          <w:sz w:val="30"/>
          <w:szCs w:val="30"/>
          <w:highlight w:val="none"/>
        </w:rPr>
      </w:pPr>
    </w:p>
    <w:p w14:paraId="100F6FED">
      <w:pPr>
        <w:shd w:val="clear"/>
        <w:spacing w:after="0"/>
        <w:ind w:firstLine="608" w:firstLineChars="0"/>
        <w:rPr>
          <w:rFonts w:hint="eastAsia"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（3）改进措施和取得成效的证据材料</w:t>
      </w:r>
      <w:bookmarkStart w:id="3" w:name="_Hlk149899100"/>
      <w:r>
        <w:rPr>
          <w:rFonts w:hint="eastAsia" w:ascii="Times New Roman" w:hAnsi="Times New Roman" w:eastAsia="仿宋" w:cs="Times New Roman"/>
          <w:color w:val="auto"/>
          <w:sz w:val="30"/>
          <w:szCs w:val="30"/>
          <w:highlight w:val="none"/>
        </w:rPr>
        <w:t>（以表格形式列出清单并在第五部分提供附件）</w:t>
      </w:r>
      <w:bookmarkEnd w:id="3"/>
    </w:p>
    <w:p w14:paraId="4E312C1C">
      <w:pPr>
        <w:shd w:val="clear"/>
        <w:spacing w:after="0"/>
        <w:ind w:firstLine="608" w:firstLineChars="0"/>
        <w:rPr>
          <w:rFonts w:hint="eastAsia" w:ascii="Times New Roman" w:hAnsi="Times New Roman" w:eastAsia="仿宋" w:cs="Times New Roman"/>
          <w:color w:val="auto"/>
          <w:sz w:val="30"/>
          <w:szCs w:val="30"/>
          <w:highlight w:val="none"/>
        </w:rPr>
      </w:pPr>
    </w:p>
    <w:p w14:paraId="39B47E5E">
      <w:pPr>
        <w:shd w:val="clear"/>
        <w:spacing w:after="0"/>
        <w:ind w:firstLine="608" w:firstLineChars="0"/>
        <w:rPr>
          <w:rFonts w:hint="eastAsia"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（4）仍然存在的问题及改进计划</w:t>
      </w:r>
    </w:p>
    <w:p w14:paraId="437A506E">
      <w:pPr>
        <w:shd w:val="clear"/>
        <w:spacing w:after="0"/>
        <w:ind w:firstLine="608" w:firstLineChars="0"/>
        <w:rPr>
          <w:rFonts w:ascii="Times New Roman" w:hAnsi="Times New Roman" w:eastAsia="仿宋" w:cs="Times New Roman"/>
          <w:b/>
          <w:color w:val="auto"/>
          <w:sz w:val="30"/>
          <w:szCs w:val="30"/>
          <w:highlight w:val="none"/>
        </w:rPr>
      </w:pPr>
    </w:p>
    <w:p w14:paraId="760B6840">
      <w:pPr>
        <w:shd w:val="clear"/>
        <w:spacing w:after="0"/>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val="0"/>
          <w:bCs/>
          <w:color w:val="auto"/>
          <w:sz w:val="30"/>
          <w:szCs w:val="30"/>
          <w:highlight w:val="none"/>
        </w:rPr>
        <w:t>【标准内容】</w:t>
      </w:r>
      <w:r>
        <w:rPr>
          <w:rFonts w:hint="eastAsia" w:ascii="Times New Roman" w:hAnsi="Times New Roman" w:eastAsia="仿宋" w:cs="Times New Roman"/>
          <w:color w:val="auto"/>
          <w:sz w:val="30"/>
          <w:szCs w:val="30"/>
          <w:highlight w:val="none"/>
        </w:rPr>
        <w:t xml:space="preserve">1.3 </w:t>
      </w:r>
      <w:r>
        <w:rPr>
          <w:rFonts w:hint="eastAsia" w:ascii="Times New Roman" w:hAnsi="Times New Roman" w:eastAsia="仿宋" w:cs="Times New Roman"/>
          <w:color w:val="auto"/>
          <w:sz w:val="30"/>
          <w:szCs w:val="30"/>
          <w:highlight w:val="none"/>
          <w:lang w:val="fr-FR"/>
        </w:rPr>
        <w:t>对学生在整个学习过程中的表现进行跟踪与评估，并通过形成性评价保证学生毕业时达到毕业要求。</w:t>
      </w:r>
    </w:p>
    <w:p w14:paraId="4283E996">
      <w:pPr>
        <w:shd w:val="clear"/>
        <w:spacing w:after="0"/>
        <w:ind w:firstLine="723" w:firstLineChars="300"/>
        <w:rPr>
          <w:rFonts w:ascii="Times New Roman" w:hAnsi="Times New Roman" w:eastAsia="仿宋" w:cs="Times New Roman"/>
          <w:b/>
          <w:color w:val="auto"/>
          <w:sz w:val="24"/>
          <w:szCs w:val="24"/>
          <w:highlight w:val="none"/>
        </w:rPr>
      </w:pPr>
      <w:r>
        <w:rPr>
          <w:rFonts w:hint="eastAsia" w:ascii="Times New Roman" w:hAnsi="Times New Roman" w:eastAsia="仿宋" w:cs="Times New Roman"/>
          <w:b/>
          <w:color w:val="auto"/>
          <w:sz w:val="24"/>
          <w:szCs w:val="24"/>
          <w:highlight w:val="none"/>
        </w:rPr>
        <w:t>……</w:t>
      </w:r>
    </w:p>
    <w:p w14:paraId="742F849E">
      <w:pPr>
        <w:shd w:val="clear"/>
        <w:spacing w:after="0"/>
        <w:ind w:firstLine="0" w:firstLineChars="0"/>
        <w:rPr>
          <w:rFonts w:ascii="Times New Roman" w:hAnsi="Times New Roman" w:eastAsia="仿宋" w:cs="Times New Roman"/>
          <w:b/>
          <w:color w:val="auto"/>
          <w:sz w:val="24"/>
          <w:szCs w:val="24"/>
          <w:highlight w:val="none"/>
        </w:rPr>
      </w:pPr>
    </w:p>
    <w:p w14:paraId="17326991">
      <w:pPr>
        <w:shd w:val="clear"/>
        <w:adjustRightInd w:val="0"/>
        <w:snapToGrid w:val="0"/>
        <w:spacing w:after="0"/>
        <w:ind w:firstLine="602"/>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2. 培养目标</w:t>
      </w:r>
    </w:p>
    <w:p w14:paraId="103B2D1F">
      <w:pPr>
        <w:shd w:val="clear"/>
        <w:adjustRightInd w:val="0"/>
        <w:snapToGrid w:val="0"/>
        <w:spacing w:after="0"/>
        <w:ind w:firstLine="600"/>
        <w:rPr>
          <w:rFonts w:ascii="Times New Roman" w:hAnsi="Times New Roman" w:eastAsia="仿宋" w:cs="Times New Roman"/>
          <w:color w:val="auto"/>
          <w:sz w:val="30"/>
          <w:szCs w:val="30"/>
          <w:highlight w:val="none"/>
        </w:rPr>
      </w:pPr>
      <w:bookmarkStart w:id="4" w:name="_Hlk149898069"/>
      <w:r>
        <w:rPr>
          <w:rFonts w:hint="eastAsia" w:ascii="Times New Roman" w:hAnsi="Times New Roman" w:eastAsia="仿宋" w:cs="Times New Roman"/>
          <w:color w:val="auto"/>
          <w:sz w:val="30"/>
          <w:szCs w:val="30"/>
          <w:highlight w:val="none"/>
        </w:rPr>
        <w:t>……</w:t>
      </w:r>
    </w:p>
    <w:bookmarkEnd w:id="4"/>
    <w:p w14:paraId="2D848B4D">
      <w:pPr>
        <w:shd w:val="clear"/>
        <w:spacing w:after="0"/>
        <w:ind w:firstLine="0" w:firstLineChars="0"/>
        <w:rPr>
          <w:rFonts w:ascii="Times New Roman" w:hAnsi="Times New Roman" w:eastAsia="仿宋" w:cs="Times New Roman"/>
          <w:color w:val="auto"/>
          <w:highlight w:val="none"/>
        </w:rPr>
      </w:pPr>
    </w:p>
    <w:p w14:paraId="0BC3E80F">
      <w:pPr>
        <w:shd w:val="clear"/>
        <w:adjustRightInd w:val="0"/>
        <w:snapToGrid w:val="0"/>
        <w:spacing w:after="0"/>
        <w:ind w:firstLine="0" w:firstLineChars="0"/>
        <w:rPr>
          <w:rFonts w:ascii="Times New Roman" w:hAnsi="Times New Roman" w:eastAsia="黑体" w:cs="Times New Roman"/>
          <w:b/>
          <w:color w:val="auto"/>
          <w:sz w:val="30"/>
          <w:szCs w:val="30"/>
          <w:highlight w:val="none"/>
        </w:rPr>
      </w:pPr>
      <w:r>
        <w:rPr>
          <w:rFonts w:hint="eastAsia" w:ascii="Times New Roman" w:hAnsi="Times New Roman" w:eastAsia="黑体" w:cs="Times New Roman"/>
          <w:b/>
          <w:color w:val="auto"/>
          <w:sz w:val="30"/>
          <w:szCs w:val="30"/>
          <w:highlight w:val="none"/>
        </w:rPr>
        <w:t>三、面向产出的内部评价机制的完善和运行情况</w:t>
      </w:r>
    </w:p>
    <w:p w14:paraId="025C61DC">
      <w:pPr>
        <w:shd w:val="clear"/>
        <w:adjustRightInd w:val="0"/>
        <w:snapToGrid w:val="0"/>
        <w:spacing w:after="0"/>
        <w:ind w:firstLine="0" w:firstLineChars="0"/>
        <w:rPr>
          <w:rFonts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z w:val="30"/>
          <w:szCs w:val="30"/>
          <w:highlight w:val="none"/>
        </w:rPr>
        <w:t>（不包含附件限</w:t>
      </w:r>
      <w:r>
        <w:rPr>
          <w:rFonts w:hint="eastAsia" w:ascii="Times New Roman" w:hAnsi="Times New Roman" w:eastAsia="仿宋" w:cs="Times New Roman"/>
          <w:color w:val="auto"/>
          <w:sz w:val="30"/>
          <w:szCs w:val="30"/>
          <w:highlight w:val="none"/>
          <w:lang w:val="en-US" w:eastAsia="zh-CN"/>
        </w:rPr>
        <w:t>3</w:t>
      </w:r>
      <w:r>
        <w:rPr>
          <w:rFonts w:hint="eastAsia" w:ascii="Times New Roman" w:hAnsi="Times New Roman" w:eastAsia="仿宋" w:cs="Times New Roman"/>
          <w:color w:val="auto"/>
          <w:sz w:val="30"/>
          <w:szCs w:val="30"/>
          <w:highlight w:val="none"/>
          <w:lang w:val="fr-FR"/>
        </w:rPr>
        <w:t>000</w:t>
      </w:r>
      <w:r>
        <w:rPr>
          <w:rFonts w:hint="eastAsia" w:ascii="Times New Roman" w:hAnsi="Times New Roman" w:eastAsia="仿宋" w:cs="Times New Roman"/>
          <w:color w:val="auto"/>
          <w:sz w:val="30"/>
          <w:szCs w:val="30"/>
          <w:highlight w:val="none"/>
        </w:rPr>
        <w:t>字</w:t>
      </w:r>
      <w:r>
        <w:rPr>
          <w:rFonts w:hint="eastAsia" w:ascii="Times New Roman" w:hAnsi="Times New Roman" w:eastAsia="仿宋" w:cs="Times New Roman"/>
          <w:color w:val="auto"/>
          <w:spacing w:val="-6"/>
          <w:sz w:val="30"/>
          <w:szCs w:val="30"/>
          <w:highlight w:val="none"/>
        </w:rPr>
        <w:t>）</w:t>
      </w:r>
    </w:p>
    <w:p w14:paraId="24972119">
      <w:pPr>
        <w:shd w:val="clear"/>
        <w:spacing w:after="0"/>
        <w:ind w:firstLine="0" w:firstLineChars="0"/>
        <w:rPr>
          <w:rFonts w:hint="default" w:ascii="Times New Roman" w:hAnsi="Times New Roman" w:eastAsia="黑体" w:cs="Times New Roman"/>
          <w:color w:val="C00000"/>
          <w:sz w:val="30"/>
          <w:szCs w:val="30"/>
          <w:highlight w:val="none"/>
          <w:lang w:val="fr-FR"/>
        </w:rPr>
      </w:pPr>
      <w:r>
        <w:rPr>
          <w:rFonts w:hint="eastAsia" w:ascii="Times New Roman" w:hAnsi="Times New Roman" w:eastAsia="仿宋" w:cs="Times New Roman"/>
          <w:color w:val="auto"/>
          <w:sz w:val="30"/>
          <w:szCs w:val="30"/>
          <w:highlight w:val="none"/>
        </w:rPr>
        <w:t xml:space="preserve">   </w:t>
      </w:r>
      <w:r>
        <w:rPr>
          <w:rFonts w:hint="default" w:ascii="Times New Roman" w:hAnsi="Times New Roman" w:eastAsia="黑体" w:cs="Times New Roman"/>
          <w:color w:val="auto"/>
          <w:sz w:val="30"/>
          <w:szCs w:val="30"/>
          <w:highlight w:val="none"/>
          <w:lang w:val="fr-FR"/>
        </w:rPr>
        <w:t xml:space="preserve"> </w:t>
      </w:r>
      <w:r>
        <w:rPr>
          <w:rFonts w:hint="default" w:ascii="Times New Roman" w:hAnsi="Times New Roman" w:eastAsia="仿宋" w:cs="Times New Roman"/>
          <w:color w:val="auto"/>
          <w:sz w:val="30"/>
          <w:szCs w:val="30"/>
          <w:highlight w:val="none"/>
          <w:lang w:val="fr-FR"/>
        </w:rPr>
        <w:t>1.</w:t>
      </w:r>
      <w:r>
        <w:rPr>
          <w:rFonts w:hint="eastAsia"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lang w:val="fr-FR"/>
        </w:rPr>
        <w:t>认证时面向产出的内部评价机制存在</w:t>
      </w:r>
      <w:r>
        <w:rPr>
          <w:rFonts w:hint="default" w:ascii="Times New Roman" w:hAnsi="Times New Roman" w:eastAsia="仿宋" w:cs="Times New Roman"/>
          <w:color w:val="auto"/>
          <w:sz w:val="30"/>
          <w:szCs w:val="30"/>
          <w:highlight w:val="none"/>
          <w:lang w:val="en-US" w:eastAsia="zh-CN"/>
        </w:rPr>
        <w:t>的</w:t>
      </w:r>
      <w:r>
        <w:rPr>
          <w:rFonts w:hint="default" w:ascii="Times New Roman" w:hAnsi="Times New Roman" w:eastAsia="仿宋" w:cs="Times New Roman"/>
          <w:color w:val="auto"/>
          <w:sz w:val="30"/>
          <w:szCs w:val="30"/>
          <w:highlight w:val="none"/>
          <w:lang w:val="fr-FR"/>
        </w:rPr>
        <w:t>问题</w:t>
      </w:r>
      <w:r>
        <w:rPr>
          <w:rFonts w:hint="default" w:ascii="Times New Roman" w:hAnsi="Times New Roman" w:eastAsia="仿宋" w:cs="Times New Roman"/>
          <w:color w:val="auto"/>
          <w:sz w:val="30"/>
          <w:szCs w:val="30"/>
          <w:highlight w:val="none"/>
          <w:lang w:val="en-US" w:eastAsia="zh-CN"/>
        </w:rPr>
        <w:t>分析（注：</w:t>
      </w:r>
      <w:r>
        <w:rPr>
          <w:rFonts w:hint="default" w:ascii="Times New Roman" w:hAnsi="Times New Roman" w:eastAsia="仿宋" w:cs="Times New Roman"/>
          <w:color w:val="auto"/>
          <w:sz w:val="30"/>
          <w:szCs w:val="30"/>
          <w:highlight w:val="none"/>
          <w:lang w:val="fr-FR"/>
        </w:rPr>
        <w:t>简要说明和分析内部评价机制存在的主要问题，作为评价机制改进的依据</w:t>
      </w:r>
      <w:r>
        <w:rPr>
          <w:rFonts w:hint="default" w:ascii="Times New Roman" w:hAnsi="Times New Roman" w:eastAsia="仿宋" w:cs="Times New Roman"/>
          <w:color w:val="auto"/>
          <w:sz w:val="30"/>
          <w:szCs w:val="30"/>
          <w:highlight w:val="none"/>
          <w:lang w:val="en-US" w:eastAsia="zh-CN"/>
        </w:rPr>
        <w:t>）</w:t>
      </w:r>
    </w:p>
    <w:p w14:paraId="69125CFD">
      <w:pPr>
        <w:shd w:val="clear"/>
        <w:spacing w:after="0"/>
        <w:ind w:firstLine="0" w:firstLineChars="0"/>
        <w:rPr>
          <w:rFonts w:hint="default" w:ascii="Times New Roman" w:hAnsi="Times New Roman" w:eastAsia="黑体" w:cs="Times New Roman"/>
          <w:color w:val="C00000"/>
          <w:sz w:val="30"/>
          <w:szCs w:val="30"/>
          <w:highlight w:val="none"/>
          <w:lang w:val="fr-FR"/>
        </w:rPr>
      </w:pPr>
    </w:p>
    <w:p w14:paraId="7993E299">
      <w:pPr>
        <w:shd w:val="clear"/>
        <w:spacing w:after="0"/>
        <w:ind w:firstLine="600" w:firstLineChars="200"/>
        <w:rPr>
          <w:rFonts w:hint="default" w:ascii="Times New Roman" w:hAnsi="Times New Roman" w:eastAsia="仿宋" w:cs="Times New Roman"/>
          <w:color w:val="auto"/>
          <w:sz w:val="30"/>
          <w:szCs w:val="30"/>
          <w:highlight w:val="none"/>
          <w:lang w:val="fr-FR"/>
        </w:rPr>
      </w:pPr>
      <w:r>
        <w:rPr>
          <w:rFonts w:hint="default" w:ascii="Times New Roman" w:hAnsi="Times New Roman" w:eastAsia="仿宋" w:cs="Times New Roman"/>
          <w:color w:val="auto"/>
          <w:sz w:val="30"/>
          <w:szCs w:val="30"/>
          <w:highlight w:val="none"/>
          <w:lang w:val="fr-FR"/>
        </w:rPr>
        <w:t>2.</w:t>
      </w:r>
      <w:r>
        <w:rPr>
          <w:rFonts w:hint="eastAsia"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lang w:val="fr-FR"/>
        </w:rPr>
        <w:t>近三年，面向产出的内部评价机制</w:t>
      </w:r>
      <w:r>
        <w:rPr>
          <w:rFonts w:hint="default" w:ascii="Times New Roman" w:hAnsi="Times New Roman" w:eastAsia="仿宋" w:cs="Times New Roman"/>
          <w:color w:val="auto"/>
          <w:sz w:val="30"/>
          <w:szCs w:val="30"/>
          <w:highlight w:val="none"/>
          <w:lang w:val="en-US" w:eastAsia="zh-CN"/>
        </w:rPr>
        <w:t>的</w:t>
      </w:r>
      <w:r>
        <w:rPr>
          <w:rFonts w:hint="default" w:ascii="Times New Roman" w:hAnsi="Times New Roman" w:eastAsia="仿宋" w:cs="Times New Roman"/>
          <w:color w:val="auto"/>
          <w:sz w:val="30"/>
          <w:szCs w:val="30"/>
          <w:highlight w:val="none"/>
          <w:lang w:val="fr-FR"/>
        </w:rPr>
        <w:t>改进情况（注：用表</w:t>
      </w:r>
      <w:r>
        <w:rPr>
          <w:rFonts w:hint="eastAsia" w:ascii="Times New Roman" w:hAnsi="Times New Roman" w:eastAsia="仿宋" w:cs="Times New Roman"/>
          <w:color w:val="auto"/>
          <w:sz w:val="30"/>
          <w:szCs w:val="30"/>
          <w:highlight w:val="none"/>
          <w:lang w:val="en-US" w:eastAsia="zh-CN"/>
        </w:rPr>
        <w:t>1</w:t>
      </w:r>
      <w:r>
        <w:rPr>
          <w:rFonts w:hint="default" w:ascii="Times New Roman" w:hAnsi="Times New Roman" w:eastAsia="仿宋" w:cs="Times New Roman"/>
          <w:color w:val="auto"/>
          <w:sz w:val="30"/>
          <w:szCs w:val="30"/>
          <w:highlight w:val="none"/>
          <w:lang w:val="fr-FR"/>
        </w:rPr>
        <w:t>列出新修订或新出台的相关文件，简要说明这些文件针对上述问题提出的改进措施，并在第五部分的附件中提供文件原件）</w:t>
      </w:r>
    </w:p>
    <w:p w14:paraId="142A5B3A">
      <w:pPr>
        <w:shd w:val="clear"/>
        <w:spacing w:after="0"/>
        <w:ind w:left="0" w:leftChars="0" w:firstLine="0" w:firstLineChars="0"/>
        <w:jc w:val="center"/>
        <w:rPr>
          <w:rFonts w:hint="default" w:ascii="Times New Roman" w:hAnsi="Times New Roman" w:eastAsia="仿宋" w:cs="Times New Roman"/>
          <w:color w:val="auto"/>
          <w:sz w:val="30"/>
          <w:szCs w:val="30"/>
          <w:highlight w:val="none"/>
          <w:lang w:val="fr-FR"/>
        </w:rPr>
      </w:pPr>
      <w:r>
        <w:rPr>
          <w:rFonts w:hint="default" w:ascii="Times New Roman" w:hAnsi="Times New Roman" w:eastAsia="仿宋" w:cs="Times New Roman"/>
          <w:color w:val="auto"/>
          <w:sz w:val="28"/>
          <w:szCs w:val="28"/>
          <w:highlight w:val="none"/>
          <w:lang w:val="fr-FR"/>
        </w:rPr>
        <w:t>表1 新修订或新出台的相关文件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410"/>
        <w:gridCol w:w="1016"/>
        <w:gridCol w:w="1031"/>
        <w:gridCol w:w="928"/>
        <w:gridCol w:w="1108"/>
        <w:gridCol w:w="1097"/>
        <w:gridCol w:w="1125"/>
      </w:tblGrid>
      <w:tr w14:paraId="3047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vAlign w:val="center"/>
          </w:tcPr>
          <w:p w14:paraId="10A7004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序号</w:t>
            </w:r>
          </w:p>
        </w:tc>
        <w:tc>
          <w:tcPr>
            <w:tcW w:w="1410" w:type="dxa"/>
            <w:tcBorders>
              <w:top w:val="single" w:color="auto" w:sz="4" w:space="0"/>
              <w:left w:val="single" w:color="auto" w:sz="4" w:space="0"/>
              <w:bottom w:val="single" w:color="auto" w:sz="4" w:space="0"/>
              <w:right w:val="single" w:color="auto" w:sz="4" w:space="0"/>
            </w:tcBorders>
            <w:vAlign w:val="center"/>
          </w:tcPr>
          <w:p w14:paraId="6A72B87A">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文件名称</w:t>
            </w:r>
          </w:p>
        </w:tc>
        <w:tc>
          <w:tcPr>
            <w:tcW w:w="1016" w:type="dxa"/>
            <w:tcBorders>
              <w:top w:val="single" w:color="auto" w:sz="4" w:space="0"/>
              <w:left w:val="single" w:color="auto" w:sz="4" w:space="0"/>
              <w:bottom w:val="single" w:color="auto" w:sz="4" w:space="0"/>
              <w:right w:val="single" w:color="auto" w:sz="4" w:space="0"/>
            </w:tcBorders>
            <w:vAlign w:val="center"/>
          </w:tcPr>
          <w:p w14:paraId="2BA19DD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制定</w:t>
            </w:r>
          </w:p>
          <w:p w14:paraId="7A41194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单位</w:t>
            </w:r>
          </w:p>
        </w:tc>
        <w:tc>
          <w:tcPr>
            <w:tcW w:w="1031" w:type="dxa"/>
            <w:tcBorders>
              <w:top w:val="single" w:color="auto" w:sz="4" w:space="0"/>
              <w:left w:val="single" w:color="auto" w:sz="4" w:space="0"/>
              <w:bottom w:val="single" w:color="auto" w:sz="4" w:space="0"/>
              <w:right w:val="single" w:color="auto" w:sz="4" w:space="0"/>
            </w:tcBorders>
            <w:vAlign w:val="center"/>
          </w:tcPr>
          <w:p w14:paraId="16990A7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制度建立</w:t>
            </w:r>
            <w:r>
              <w:rPr>
                <w:rFonts w:hint="default" w:ascii="Times New Roman" w:hAnsi="Times New Roman" w:eastAsia="仿宋" w:cs="Times New Roman"/>
                <w:color w:val="auto"/>
                <w:sz w:val="28"/>
                <w:szCs w:val="28"/>
                <w:highlight w:val="none"/>
                <w:lang w:val="fr-FR" w:eastAsia="zh-CN"/>
              </w:rPr>
              <w:t>或修订的</w:t>
            </w:r>
            <w:r>
              <w:rPr>
                <w:rFonts w:hint="default" w:ascii="Times New Roman" w:hAnsi="Times New Roman" w:eastAsia="仿宋" w:cs="Times New Roman"/>
                <w:color w:val="auto"/>
                <w:sz w:val="28"/>
                <w:szCs w:val="28"/>
                <w:highlight w:val="none"/>
                <w:lang w:val="fr-FR"/>
              </w:rPr>
              <w:t>时间</w:t>
            </w:r>
          </w:p>
        </w:tc>
        <w:tc>
          <w:tcPr>
            <w:tcW w:w="928" w:type="dxa"/>
            <w:tcBorders>
              <w:top w:val="single" w:color="auto" w:sz="4" w:space="0"/>
              <w:left w:val="single" w:color="auto" w:sz="4" w:space="0"/>
              <w:bottom w:val="single" w:color="auto" w:sz="4" w:space="0"/>
              <w:right w:val="single" w:color="auto" w:sz="4" w:space="0"/>
            </w:tcBorders>
            <w:vAlign w:val="center"/>
          </w:tcPr>
          <w:p w14:paraId="4D8E7F1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开始实施时间</w:t>
            </w:r>
          </w:p>
        </w:tc>
        <w:tc>
          <w:tcPr>
            <w:tcW w:w="1108" w:type="dxa"/>
            <w:tcBorders>
              <w:top w:val="single" w:color="auto" w:sz="4" w:space="0"/>
              <w:left w:val="single" w:color="auto" w:sz="4" w:space="0"/>
              <w:bottom w:val="single" w:color="auto" w:sz="4" w:space="0"/>
              <w:right w:val="single" w:color="auto" w:sz="4" w:space="0"/>
            </w:tcBorders>
            <w:vAlign w:val="center"/>
          </w:tcPr>
          <w:p w14:paraId="2A41F0A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运行</w:t>
            </w:r>
          </w:p>
          <w:p w14:paraId="25BC0A8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周期</w:t>
            </w:r>
          </w:p>
        </w:tc>
        <w:tc>
          <w:tcPr>
            <w:tcW w:w="1097" w:type="dxa"/>
            <w:tcBorders>
              <w:top w:val="single" w:color="auto" w:sz="4" w:space="0"/>
              <w:left w:val="single" w:color="auto" w:sz="4" w:space="0"/>
              <w:bottom w:val="single" w:color="auto" w:sz="4" w:space="0"/>
              <w:right w:val="single" w:color="auto" w:sz="4" w:space="0"/>
            </w:tcBorders>
            <w:vAlign w:val="center"/>
          </w:tcPr>
          <w:p w14:paraId="2649E6D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针对</w:t>
            </w:r>
          </w:p>
          <w:p w14:paraId="474751BE">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问题</w:t>
            </w:r>
          </w:p>
        </w:tc>
        <w:tc>
          <w:tcPr>
            <w:tcW w:w="1125" w:type="dxa"/>
            <w:tcBorders>
              <w:top w:val="single" w:color="auto" w:sz="4" w:space="0"/>
              <w:left w:val="single" w:color="auto" w:sz="4" w:space="0"/>
              <w:bottom w:val="single" w:color="auto" w:sz="4" w:space="0"/>
              <w:right w:val="single" w:color="auto" w:sz="4" w:space="0"/>
            </w:tcBorders>
            <w:vAlign w:val="center"/>
          </w:tcPr>
          <w:p w14:paraId="3F337B27">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改进</w:t>
            </w:r>
          </w:p>
          <w:p w14:paraId="2F33F657">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eastAsia="zh-CN"/>
              </w:rPr>
            </w:pPr>
            <w:r>
              <w:rPr>
                <w:rFonts w:hint="default" w:ascii="Times New Roman" w:hAnsi="Times New Roman" w:eastAsia="仿宋" w:cs="Times New Roman"/>
                <w:color w:val="auto"/>
                <w:sz w:val="28"/>
                <w:szCs w:val="28"/>
                <w:highlight w:val="none"/>
                <w:lang w:val="en-US" w:eastAsia="zh-CN"/>
              </w:rPr>
              <w:t>措施</w:t>
            </w:r>
          </w:p>
        </w:tc>
      </w:tr>
      <w:tr w14:paraId="1F14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Pr>
          <w:p w14:paraId="18B2B8F2">
            <w:pPr>
              <w:keepNext w:val="0"/>
              <w:keepLines w:val="0"/>
              <w:pageBreakBefore w:val="0"/>
              <w:widowControl w:val="0"/>
              <w:shd w:val="clea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1</w:t>
            </w:r>
          </w:p>
        </w:tc>
        <w:tc>
          <w:tcPr>
            <w:tcW w:w="1410" w:type="dxa"/>
            <w:tcBorders>
              <w:top w:val="single" w:color="auto" w:sz="4" w:space="0"/>
              <w:left w:val="single" w:color="auto" w:sz="4" w:space="0"/>
              <w:bottom w:val="single" w:color="auto" w:sz="4" w:space="0"/>
              <w:right w:val="single" w:color="auto" w:sz="4" w:space="0"/>
            </w:tcBorders>
          </w:tcPr>
          <w:p w14:paraId="35E6B061">
            <w:pPr>
              <w:keepNext w:val="0"/>
              <w:keepLines w:val="0"/>
              <w:pageBreakBefore w:val="0"/>
              <w:widowControl w:val="0"/>
              <w:shd w:val="clear"/>
              <w:kinsoku/>
              <w:wordWrap/>
              <w:overflowPunct/>
              <w:topLinePunct w:val="0"/>
              <w:autoSpaceDE/>
              <w:autoSpaceDN/>
              <w:bidi w:val="0"/>
              <w:adjustRightInd w:val="0"/>
              <w:snapToGrid w:val="0"/>
              <w:spacing w:after="16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16" w:type="dxa"/>
            <w:tcBorders>
              <w:top w:val="single" w:color="auto" w:sz="4" w:space="0"/>
              <w:left w:val="single" w:color="auto" w:sz="4" w:space="0"/>
              <w:bottom w:val="single" w:color="auto" w:sz="4" w:space="0"/>
              <w:right w:val="single" w:color="auto" w:sz="4" w:space="0"/>
            </w:tcBorders>
          </w:tcPr>
          <w:p w14:paraId="32AAA16F">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31" w:type="dxa"/>
            <w:tcBorders>
              <w:top w:val="single" w:color="auto" w:sz="4" w:space="0"/>
              <w:left w:val="single" w:color="auto" w:sz="4" w:space="0"/>
              <w:bottom w:val="single" w:color="auto" w:sz="4" w:space="0"/>
              <w:right w:val="single" w:color="auto" w:sz="4" w:space="0"/>
            </w:tcBorders>
          </w:tcPr>
          <w:p w14:paraId="70266567">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928" w:type="dxa"/>
            <w:tcBorders>
              <w:top w:val="single" w:color="auto" w:sz="4" w:space="0"/>
              <w:left w:val="single" w:color="auto" w:sz="4" w:space="0"/>
              <w:bottom w:val="single" w:color="auto" w:sz="4" w:space="0"/>
              <w:right w:val="single" w:color="auto" w:sz="4" w:space="0"/>
            </w:tcBorders>
          </w:tcPr>
          <w:p w14:paraId="51C4B75E">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108" w:type="dxa"/>
            <w:tcBorders>
              <w:top w:val="single" w:color="auto" w:sz="4" w:space="0"/>
              <w:left w:val="single" w:color="auto" w:sz="4" w:space="0"/>
              <w:bottom w:val="single" w:color="auto" w:sz="4" w:space="0"/>
              <w:right w:val="single" w:color="auto" w:sz="4" w:space="0"/>
            </w:tcBorders>
          </w:tcPr>
          <w:p w14:paraId="36FDD68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97" w:type="dxa"/>
            <w:tcBorders>
              <w:top w:val="single" w:color="auto" w:sz="4" w:space="0"/>
              <w:left w:val="single" w:color="auto" w:sz="4" w:space="0"/>
              <w:bottom w:val="single" w:color="auto" w:sz="4" w:space="0"/>
              <w:right w:val="single" w:color="auto" w:sz="4" w:space="0"/>
            </w:tcBorders>
          </w:tcPr>
          <w:p w14:paraId="211B60ED">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125" w:type="dxa"/>
            <w:tcBorders>
              <w:top w:val="single" w:color="auto" w:sz="4" w:space="0"/>
              <w:left w:val="single" w:color="auto" w:sz="4" w:space="0"/>
              <w:bottom w:val="single" w:color="auto" w:sz="4" w:space="0"/>
              <w:right w:val="single" w:color="auto" w:sz="4" w:space="0"/>
            </w:tcBorders>
          </w:tcPr>
          <w:p w14:paraId="74C47A7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r>
      <w:tr w14:paraId="7E77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Pr>
          <w:p w14:paraId="4BDCEB12">
            <w:pPr>
              <w:keepNext w:val="0"/>
              <w:keepLines w:val="0"/>
              <w:pageBreakBefore w:val="0"/>
              <w:widowControl w:val="0"/>
              <w:shd w:val="clea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2</w:t>
            </w:r>
          </w:p>
        </w:tc>
        <w:tc>
          <w:tcPr>
            <w:tcW w:w="1410" w:type="dxa"/>
            <w:tcBorders>
              <w:top w:val="single" w:color="auto" w:sz="4" w:space="0"/>
              <w:left w:val="single" w:color="auto" w:sz="4" w:space="0"/>
              <w:bottom w:val="single" w:color="auto" w:sz="4" w:space="0"/>
              <w:right w:val="single" w:color="auto" w:sz="4" w:space="0"/>
            </w:tcBorders>
          </w:tcPr>
          <w:p w14:paraId="6B625D33">
            <w:pPr>
              <w:keepNext w:val="0"/>
              <w:keepLines w:val="0"/>
              <w:pageBreakBefore w:val="0"/>
              <w:widowControl w:val="0"/>
              <w:shd w:val="clear"/>
              <w:kinsoku/>
              <w:wordWrap/>
              <w:overflowPunct/>
              <w:topLinePunct w:val="0"/>
              <w:autoSpaceDE/>
              <w:autoSpaceDN/>
              <w:bidi w:val="0"/>
              <w:adjustRightInd w:val="0"/>
              <w:snapToGrid w:val="0"/>
              <w:spacing w:after="16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16" w:type="dxa"/>
            <w:tcBorders>
              <w:top w:val="single" w:color="auto" w:sz="4" w:space="0"/>
              <w:left w:val="single" w:color="auto" w:sz="4" w:space="0"/>
              <w:bottom w:val="single" w:color="auto" w:sz="4" w:space="0"/>
              <w:right w:val="single" w:color="auto" w:sz="4" w:space="0"/>
            </w:tcBorders>
          </w:tcPr>
          <w:p w14:paraId="5C363B92">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31" w:type="dxa"/>
            <w:tcBorders>
              <w:top w:val="single" w:color="auto" w:sz="4" w:space="0"/>
              <w:left w:val="single" w:color="auto" w:sz="4" w:space="0"/>
              <w:bottom w:val="single" w:color="auto" w:sz="4" w:space="0"/>
              <w:right w:val="single" w:color="auto" w:sz="4" w:space="0"/>
            </w:tcBorders>
          </w:tcPr>
          <w:p w14:paraId="23AC5196">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928" w:type="dxa"/>
            <w:tcBorders>
              <w:top w:val="single" w:color="auto" w:sz="4" w:space="0"/>
              <w:left w:val="single" w:color="auto" w:sz="4" w:space="0"/>
              <w:bottom w:val="single" w:color="auto" w:sz="4" w:space="0"/>
              <w:right w:val="single" w:color="auto" w:sz="4" w:space="0"/>
            </w:tcBorders>
          </w:tcPr>
          <w:p w14:paraId="39F8BFBC">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108" w:type="dxa"/>
            <w:tcBorders>
              <w:top w:val="single" w:color="auto" w:sz="4" w:space="0"/>
              <w:left w:val="single" w:color="auto" w:sz="4" w:space="0"/>
              <w:bottom w:val="single" w:color="auto" w:sz="4" w:space="0"/>
              <w:right w:val="single" w:color="auto" w:sz="4" w:space="0"/>
            </w:tcBorders>
          </w:tcPr>
          <w:p w14:paraId="6A49A675">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97" w:type="dxa"/>
            <w:tcBorders>
              <w:top w:val="single" w:color="auto" w:sz="4" w:space="0"/>
              <w:left w:val="single" w:color="auto" w:sz="4" w:space="0"/>
              <w:bottom w:val="single" w:color="auto" w:sz="4" w:space="0"/>
              <w:right w:val="single" w:color="auto" w:sz="4" w:space="0"/>
            </w:tcBorders>
          </w:tcPr>
          <w:p w14:paraId="04EFF47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125" w:type="dxa"/>
            <w:tcBorders>
              <w:top w:val="single" w:color="auto" w:sz="4" w:space="0"/>
              <w:left w:val="single" w:color="auto" w:sz="4" w:space="0"/>
              <w:bottom w:val="single" w:color="auto" w:sz="4" w:space="0"/>
              <w:right w:val="single" w:color="auto" w:sz="4" w:space="0"/>
            </w:tcBorders>
          </w:tcPr>
          <w:p w14:paraId="28EDE11C">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r>
      <w:tr w14:paraId="5FDD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Pr>
          <w:p w14:paraId="032D728D">
            <w:pPr>
              <w:keepNext w:val="0"/>
              <w:keepLines w:val="0"/>
              <w:pageBreakBefore w:val="0"/>
              <w:widowControl w:val="0"/>
              <w:shd w:val="clea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w:t>
            </w:r>
          </w:p>
        </w:tc>
        <w:tc>
          <w:tcPr>
            <w:tcW w:w="1410" w:type="dxa"/>
            <w:tcBorders>
              <w:top w:val="single" w:color="auto" w:sz="4" w:space="0"/>
              <w:left w:val="single" w:color="auto" w:sz="4" w:space="0"/>
              <w:bottom w:val="single" w:color="auto" w:sz="4" w:space="0"/>
              <w:right w:val="single" w:color="auto" w:sz="4" w:space="0"/>
            </w:tcBorders>
          </w:tcPr>
          <w:p w14:paraId="18DA9A62">
            <w:pPr>
              <w:keepNext w:val="0"/>
              <w:keepLines w:val="0"/>
              <w:pageBreakBefore w:val="0"/>
              <w:widowControl w:val="0"/>
              <w:shd w:val="clear"/>
              <w:kinsoku/>
              <w:wordWrap/>
              <w:overflowPunct/>
              <w:topLinePunct w:val="0"/>
              <w:autoSpaceDE/>
              <w:autoSpaceDN/>
              <w:bidi w:val="0"/>
              <w:adjustRightInd w:val="0"/>
              <w:snapToGrid w:val="0"/>
              <w:spacing w:after="16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16" w:type="dxa"/>
            <w:tcBorders>
              <w:top w:val="single" w:color="auto" w:sz="4" w:space="0"/>
              <w:left w:val="single" w:color="auto" w:sz="4" w:space="0"/>
              <w:bottom w:val="single" w:color="auto" w:sz="4" w:space="0"/>
              <w:right w:val="single" w:color="auto" w:sz="4" w:space="0"/>
            </w:tcBorders>
          </w:tcPr>
          <w:p w14:paraId="5C67B603">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31" w:type="dxa"/>
            <w:tcBorders>
              <w:top w:val="single" w:color="auto" w:sz="4" w:space="0"/>
              <w:left w:val="single" w:color="auto" w:sz="4" w:space="0"/>
              <w:bottom w:val="single" w:color="auto" w:sz="4" w:space="0"/>
              <w:right w:val="single" w:color="auto" w:sz="4" w:space="0"/>
            </w:tcBorders>
          </w:tcPr>
          <w:p w14:paraId="476D8653">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928" w:type="dxa"/>
            <w:tcBorders>
              <w:top w:val="single" w:color="auto" w:sz="4" w:space="0"/>
              <w:left w:val="single" w:color="auto" w:sz="4" w:space="0"/>
              <w:bottom w:val="single" w:color="auto" w:sz="4" w:space="0"/>
              <w:right w:val="single" w:color="auto" w:sz="4" w:space="0"/>
            </w:tcBorders>
          </w:tcPr>
          <w:p w14:paraId="2CC57AAA">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108" w:type="dxa"/>
            <w:tcBorders>
              <w:top w:val="single" w:color="auto" w:sz="4" w:space="0"/>
              <w:left w:val="single" w:color="auto" w:sz="4" w:space="0"/>
              <w:bottom w:val="single" w:color="auto" w:sz="4" w:space="0"/>
              <w:right w:val="single" w:color="auto" w:sz="4" w:space="0"/>
            </w:tcBorders>
          </w:tcPr>
          <w:p w14:paraId="17478CA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97" w:type="dxa"/>
            <w:tcBorders>
              <w:top w:val="single" w:color="auto" w:sz="4" w:space="0"/>
              <w:left w:val="single" w:color="auto" w:sz="4" w:space="0"/>
              <w:bottom w:val="single" w:color="auto" w:sz="4" w:space="0"/>
              <w:right w:val="single" w:color="auto" w:sz="4" w:space="0"/>
            </w:tcBorders>
          </w:tcPr>
          <w:p w14:paraId="5BFC447E">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125" w:type="dxa"/>
            <w:tcBorders>
              <w:top w:val="single" w:color="auto" w:sz="4" w:space="0"/>
              <w:left w:val="single" w:color="auto" w:sz="4" w:space="0"/>
              <w:bottom w:val="single" w:color="auto" w:sz="4" w:space="0"/>
              <w:right w:val="single" w:color="auto" w:sz="4" w:space="0"/>
            </w:tcBorders>
          </w:tcPr>
          <w:p w14:paraId="69B96FB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r>
    </w:tbl>
    <w:p w14:paraId="7B386888">
      <w:pPr>
        <w:widowControl/>
        <w:shd w:val="clear"/>
        <w:spacing w:after="0" w:line="259" w:lineRule="auto"/>
        <w:ind w:firstLine="0" w:firstLineChars="0"/>
        <w:rPr>
          <w:rFonts w:hint="default" w:ascii="Times New Roman" w:hAnsi="Times New Roman" w:eastAsia="黑体" w:cs="Times New Roman"/>
          <w:color w:val="auto"/>
          <w:sz w:val="30"/>
          <w:szCs w:val="30"/>
          <w:highlight w:val="none"/>
        </w:rPr>
      </w:pPr>
    </w:p>
    <w:p w14:paraId="596B4350">
      <w:pPr>
        <w:shd w:val="clear"/>
        <w:spacing w:after="0"/>
        <w:ind w:firstLine="600" w:firstLineChars="200"/>
        <w:rPr>
          <w:rFonts w:hint="default" w:ascii="Times New Roman" w:hAnsi="Times New Roman" w:eastAsia="仿宋" w:cs="Times New Roman"/>
          <w:color w:val="auto"/>
          <w:sz w:val="30"/>
          <w:szCs w:val="30"/>
          <w:highlight w:val="none"/>
          <w:lang w:val="fr-FR"/>
        </w:rPr>
      </w:pPr>
      <w:r>
        <w:rPr>
          <w:rFonts w:hint="default" w:ascii="Times New Roman" w:hAnsi="Times New Roman" w:eastAsia="仿宋" w:cs="Times New Roman"/>
          <w:color w:val="auto"/>
          <w:sz w:val="30"/>
          <w:szCs w:val="30"/>
          <w:highlight w:val="none"/>
          <w:lang w:val="fr-FR"/>
        </w:rPr>
        <w:t>3.</w:t>
      </w:r>
      <w:r>
        <w:rPr>
          <w:rFonts w:hint="eastAsia"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lang w:val="fr-FR"/>
        </w:rPr>
        <w:t>面向产出的内部评价机制主要运行情况（注：用表</w:t>
      </w:r>
      <w:r>
        <w:rPr>
          <w:rFonts w:hint="default" w:ascii="Times New Roman" w:hAnsi="Times New Roman" w:eastAsia="仿宋" w:cs="Times New Roman"/>
          <w:color w:val="auto"/>
          <w:sz w:val="30"/>
          <w:szCs w:val="30"/>
          <w:highlight w:val="none"/>
          <w:lang w:val="en-US" w:eastAsia="zh-CN"/>
        </w:rPr>
        <w:t>2</w:t>
      </w:r>
      <w:r>
        <w:rPr>
          <w:rFonts w:hint="default" w:ascii="Times New Roman" w:hAnsi="Times New Roman" w:eastAsia="仿宋" w:cs="Times New Roman"/>
          <w:color w:val="auto"/>
          <w:sz w:val="30"/>
          <w:szCs w:val="30"/>
          <w:highlight w:val="none"/>
          <w:lang w:val="fr-FR"/>
        </w:rPr>
        <w:t>列出近三年开展课程目标达成</w:t>
      </w:r>
      <w:r>
        <w:rPr>
          <w:rFonts w:hint="default" w:ascii="Times New Roman" w:hAnsi="Times New Roman" w:eastAsia="仿宋" w:cs="Times New Roman"/>
          <w:color w:val="auto"/>
          <w:sz w:val="30"/>
          <w:szCs w:val="30"/>
          <w:highlight w:val="none"/>
          <w:lang w:val="fr-FR" w:eastAsia="zh-CN"/>
        </w:rPr>
        <w:t>情况</w:t>
      </w:r>
      <w:r>
        <w:rPr>
          <w:rFonts w:hint="default" w:ascii="Times New Roman" w:hAnsi="Times New Roman" w:eastAsia="仿宋" w:cs="Times New Roman"/>
          <w:color w:val="auto"/>
          <w:sz w:val="30"/>
          <w:szCs w:val="30"/>
          <w:highlight w:val="none"/>
          <w:lang w:val="fr-FR"/>
        </w:rPr>
        <w:t>评价的课程清单，</w:t>
      </w:r>
      <w:r>
        <w:rPr>
          <w:rFonts w:hint="default" w:ascii="Times New Roman" w:hAnsi="Times New Roman" w:eastAsia="仿宋" w:cs="Times New Roman"/>
          <w:color w:val="auto"/>
          <w:sz w:val="30"/>
          <w:szCs w:val="30"/>
          <w:highlight w:val="none"/>
          <w:lang w:val="fr-FR" w:eastAsia="zh-CN"/>
        </w:rPr>
        <w:t>用表</w:t>
      </w:r>
      <w:r>
        <w:rPr>
          <w:rFonts w:hint="default" w:ascii="Times New Roman" w:hAnsi="Times New Roman" w:eastAsia="仿宋" w:cs="Times New Roman"/>
          <w:color w:val="auto"/>
          <w:sz w:val="30"/>
          <w:szCs w:val="30"/>
          <w:highlight w:val="none"/>
          <w:lang w:val="en-US" w:eastAsia="zh-CN"/>
        </w:rPr>
        <w:t>3或表4列出</w:t>
      </w:r>
      <w:r>
        <w:rPr>
          <w:rFonts w:hint="default" w:ascii="Times New Roman" w:hAnsi="Times New Roman" w:eastAsia="仿宋" w:cs="Times New Roman"/>
          <w:color w:val="auto"/>
          <w:sz w:val="30"/>
          <w:szCs w:val="30"/>
          <w:highlight w:val="none"/>
          <w:lang w:val="fr-FR" w:eastAsia="zh-CN"/>
        </w:rPr>
        <w:t>最近一次</w:t>
      </w:r>
      <w:r>
        <w:rPr>
          <w:rFonts w:hint="default" w:ascii="Times New Roman" w:hAnsi="Times New Roman" w:eastAsia="仿宋" w:cs="Times New Roman"/>
          <w:color w:val="auto"/>
          <w:sz w:val="30"/>
          <w:szCs w:val="30"/>
          <w:highlight w:val="none"/>
          <w:lang w:val="fr-FR"/>
        </w:rPr>
        <w:t>开展毕业要求达成</w:t>
      </w:r>
      <w:r>
        <w:rPr>
          <w:rFonts w:hint="default" w:ascii="Times New Roman" w:hAnsi="Times New Roman" w:eastAsia="仿宋" w:cs="Times New Roman"/>
          <w:color w:val="auto"/>
          <w:sz w:val="30"/>
          <w:szCs w:val="30"/>
          <w:highlight w:val="none"/>
          <w:lang w:val="fr-FR" w:eastAsia="zh-CN"/>
        </w:rPr>
        <w:t>情况</w:t>
      </w:r>
      <w:r>
        <w:rPr>
          <w:rFonts w:hint="default" w:ascii="Times New Roman" w:hAnsi="Times New Roman" w:eastAsia="仿宋" w:cs="Times New Roman"/>
          <w:color w:val="auto"/>
          <w:sz w:val="30"/>
          <w:szCs w:val="30"/>
          <w:highlight w:val="none"/>
          <w:lang w:val="fr-FR"/>
        </w:rPr>
        <w:t>评价的</w:t>
      </w:r>
      <w:r>
        <w:rPr>
          <w:rFonts w:hint="default" w:ascii="Times New Roman" w:hAnsi="Times New Roman" w:eastAsia="仿宋" w:cs="Times New Roman"/>
          <w:color w:val="auto"/>
          <w:sz w:val="30"/>
          <w:szCs w:val="30"/>
          <w:highlight w:val="none"/>
          <w:lang w:val="fr-FR" w:eastAsia="zh-CN"/>
        </w:rPr>
        <w:t>依据表</w:t>
      </w:r>
      <w:r>
        <w:rPr>
          <w:rFonts w:hint="default" w:ascii="Times New Roman" w:hAnsi="Times New Roman" w:eastAsia="仿宋" w:cs="Times New Roman"/>
          <w:color w:val="auto"/>
          <w:sz w:val="30"/>
          <w:szCs w:val="30"/>
          <w:highlight w:val="none"/>
          <w:lang w:val="fr-FR"/>
        </w:rPr>
        <w:t>，并按照第五部分附件的要求提供课程评价、毕业要求达成</w:t>
      </w:r>
      <w:r>
        <w:rPr>
          <w:rFonts w:hint="default" w:ascii="Times New Roman" w:hAnsi="Times New Roman" w:eastAsia="仿宋" w:cs="Times New Roman"/>
          <w:color w:val="auto"/>
          <w:sz w:val="30"/>
          <w:szCs w:val="30"/>
          <w:highlight w:val="none"/>
          <w:lang w:val="fr-FR" w:eastAsia="zh-CN"/>
        </w:rPr>
        <w:t>的</w:t>
      </w:r>
      <w:r>
        <w:rPr>
          <w:rFonts w:hint="default" w:ascii="Times New Roman" w:hAnsi="Times New Roman" w:eastAsia="仿宋" w:cs="Times New Roman"/>
          <w:color w:val="auto"/>
          <w:sz w:val="30"/>
          <w:szCs w:val="30"/>
          <w:highlight w:val="none"/>
          <w:lang w:val="fr-FR"/>
        </w:rPr>
        <w:t>评价</w:t>
      </w:r>
      <w:r>
        <w:rPr>
          <w:rFonts w:hint="default" w:ascii="Times New Roman" w:hAnsi="Times New Roman" w:eastAsia="仿宋" w:cs="Times New Roman"/>
          <w:color w:val="auto"/>
          <w:sz w:val="30"/>
          <w:szCs w:val="30"/>
          <w:highlight w:val="none"/>
          <w:lang w:val="fr-FR" w:eastAsia="zh-CN"/>
        </w:rPr>
        <w:t>结果</w:t>
      </w:r>
      <w:r>
        <w:rPr>
          <w:rFonts w:hint="default" w:ascii="Times New Roman" w:hAnsi="Times New Roman" w:eastAsia="仿宋" w:cs="Times New Roman"/>
          <w:color w:val="auto"/>
          <w:sz w:val="30"/>
          <w:szCs w:val="30"/>
          <w:highlight w:val="none"/>
          <w:lang w:val="fr-FR"/>
        </w:rPr>
        <w:t>和其他改进措施实施情况的证据）</w:t>
      </w:r>
    </w:p>
    <w:p w14:paraId="7AE16872">
      <w:pPr>
        <w:shd w:val="clear"/>
        <w:spacing w:before="156" w:beforeLines="50" w:after="156" w:afterLines="50" w:line="360" w:lineRule="auto"/>
        <w:jc w:val="center"/>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表</w:t>
      </w:r>
      <w:r>
        <w:rPr>
          <w:rFonts w:hint="default" w:ascii="Times New Roman" w:hAnsi="Times New Roman" w:eastAsia="仿宋" w:cs="Times New Roman"/>
          <w:b w:val="0"/>
          <w:bCs w:val="0"/>
          <w:color w:val="auto"/>
          <w:sz w:val="28"/>
          <w:szCs w:val="28"/>
          <w:highlight w:val="none"/>
          <w:lang w:val="en-US" w:eastAsia="zh-CN"/>
        </w:rPr>
        <w:t>2</w:t>
      </w:r>
      <w:r>
        <w:rPr>
          <w:rFonts w:hint="default" w:ascii="Times New Roman" w:hAnsi="Times New Roman" w:eastAsia="仿宋" w:cs="Times New Roman"/>
          <w:b w:val="0"/>
          <w:bCs w:val="0"/>
          <w:color w:val="auto"/>
          <w:sz w:val="28"/>
          <w:szCs w:val="28"/>
          <w:highlight w:val="none"/>
        </w:rPr>
        <w:t xml:space="preserve"> 近三年开展课程目标达成</w:t>
      </w:r>
      <w:r>
        <w:rPr>
          <w:rFonts w:hint="default" w:ascii="Times New Roman" w:hAnsi="Times New Roman" w:eastAsia="仿宋" w:cs="Times New Roman"/>
          <w:b w:val="0"/>
          <w:bCs w:val="0"/>
          <w:color w:val="auto"/>
          <w:sz w:val="28"/>
          <w:szCs w:val="28"/>
          <w:highlight w:val="none"/>
          <w:lang w:eastAsia="zh-CN"/>
        </w:rPr>
        <w:t>情况</w:t>
      </w:r>
      <w:r>
        <w:rPr>
          <w:rFonts w:hint="default" w:ascii="Times New Roman" w:hAnsi="Times New Roman" w:eastAsia="仿宋" w:cs="Times New Roman"/>
          <w:b w:val="0"/>
          <w:bCs w:val="0"/>
          <w:color w:val="auto"/>
          <w:sz w:val="28"/>
          <w:szCs w:val="28"/>
          <w:highlight w:val="none"/>
        </w:rPr>
        <w:t>评价的课程清单</w:t>
      </w:r>
    </w:p>
    <w:tbl>
      <w:tblPr>
        <w:tblStyle w:val="11"/>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01"/>
        <w:gridCol w:w="1276"/>
        <w:gridCol w:w="1105"/>
        <w:gridCol w:w="1276"/>
        <w:gridCol w:w="1375"/>
        <w:gridCol w:w="1063"/>
      </w:tblGrid>
      <w:tr w14:paraId="1DAD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C742E87">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序号</w:t>
            </w:r>
          </w:p>
        </w:tc>
        <w:tc>
          <w:tcPr>
            <w:tcW w:w="1701" w:type="dxa"/>
            <w:vAlign w:val="center"/>
          </w:tcPr>
          <w:p w14:paraId="362DF06A">
            <w:pPr>
              <w:keepNext w:val="0"/>
              <w:keepLines w:val="0"/>
              <w:pageBreakBefore w:val="0"/>
              <w:widowControl w:val="0"/>
              <w:shd w:val="clear"/>
              <w:kinsoku/>
              <w:wordWrap/>
              <w:overflowPunct/>
              <w:topLinePunct w:val="0"/>
              <w:autoSpaceDE/>
              <w:autoSpaceDN/>
              <w:bidi w:val="0"/>
              <w:adjustRightInd w:val="0"/>
              <w:snapToGrid w:val="0"/>
              <w:spacing w:after="0" w:line="240" w:lineRule="auto"/>
              <w:ind w:left="70"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课程名称</w:t>
            </w:r>
          </w:p>
        </w:tc>
        <w:tc>
          <w:tcPr>
            <w:tcW w:w="1276" w:type="dxa"/>
            <w:vAlign w:val="center"/>
          </w:tcPr>
          <w:p w14:paraId="04B64EFE">
            <w:pPr>
              <w:keepNext w:val="0"/>
              <w:keepLines w:val="0"/>
              <w:pageBreakBefore w:val="0"/>
              <w:widowControl w:val="0"/>
              <w:shd w:val="clear"/>
              <w:kinsoku/>
              <w:wordWrap/>
              <w:overflowPunct/>
              <w:topLinePunct w:val="0"/>
              <w:autoSpaceDE/>
              <w:autoSpaceDN/>
              <w:bidi w:val="0"/>
              <w:adjustRightInd w:val="0"/>
              <w:snapToGrid w:val="0"/>
              <w:spacing w:after="0" w:line="240" w:lineRule="auto"/>
              <w:ind w:left="70"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授课</w:t>
            </w:r>
          </w:p>
          <w:p w14:paraId="086DB544">
            <w:pPr>
              <w:keepNext w:val="0"/>
              <w:keepLines w:val="0"/>
              <w:pageBreakBefore w:val="0"/>
              <w:widowControl w:val="0"/>
              <w:shd w:val="clear"/>
              <w:kinsoku/>
              <w:wordWrap/>
              <w:overflowPunct/>
              <w:topLinePunct w:val="0"/>
              <w:autoSpaceDE/>
              <w:autoSpaceDN/>
              <w:bidi w:val="0"/>
              <w:adjustRightInd w:val="0"/>
              <w:snapToGrid w:val="0"/>
              <w:spacing w:after="0" w:line="240" w:lineRule="auto"/>
              <w:ind w:left="70"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对象</w:t>
            </w:r>
          </w:p>
        </w:tc>
        <w:tc>
          <w:tcPr>
            <w:tcW w:w="1105" w:type="dxa"/>
            <w:vAlign w:val="center"/>
          </w:tcPr>
          <w:p w14:paraId="467F1060">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开课</w:t>
            </w:r>
          </w:p>
          <w:p w14:paraId="624B5358">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时间</w:t>
            </w:r>
          </w:p>
        </w:tc>
        <w:tc>
          <w:tcPr>
            <w:tcW w:w="1276" w:type="dxa"/>
            <w:vAlign w:val="center"/>
          </w:tcPr>
          <w:p w14:paraId="55FCE7DA">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评价</w:t>
            </w:r>
          </w:p>
          <w:p w14:paraId="5F4354D2">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时间</w:t>
            </w:r>
          </w:p>
        </w:tc>
        <w:tc>
          <w:tcPr>
            <w:tcW w:w="1375" w:type="dxa"/>
            <w:vAlign w:val="center"/>
          </w:tcPr>
          <w:p w14:paraId="351ED145">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评价</w:t>
            </w:r>
          </w:p>
          <w:p w14:paraId="34BD6B10">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方法</w:t>
            </w:r>
          </w:p>
        </w:tc>
        <w:tc>
          <w:tcPr>
            <w:tcW w:w="1063" w:type="dxa"/>
            <w:vAlign w:val="center"/>
          </w:tcPr>
          <w:p w14:paraId="6B3335EA">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责任人</w:t>
            </w:r>
          </w:p>
        </w:tc>
      </w:tr>
      <w:tr w14:paraId="7D30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D38DA40">
            <w:pPr>
              <w:keepNext w:val="0"/>
              <w:keepLines w:val="0"/>
              <w:pageBreakBefore w:val="0"/>
              <w:widowControl w:val="0"/>
              <w:shd w:val="clea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1</w:t>
            </w:r>
          </w:p>
        </w:tc>
        <w:tc>
          <w:tcPr>
            <w:tcW w:w="1701" w:type="dxa"/>
            <w:vAlign w:val="center"/>
          </w:tcPr>
          <w:p w14:paraId="716EA085">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276" w:type="dxa"/>
            <w:vAlign w:val="center"/>
          </w:tcPr>
          <w:p w14:paraId="6F67AB3C">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105" w:type="dxa"/>
            <w:vAlign w:val="center"/>
          </w:tcPr>
          <w:p w14:paraId="319EE734">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276" w:type="dxa"/>
            <w:vAlign w:val="center"/>
          </w:tcPr>
          <w:p w14:paraId="1DDD6C7A">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375" w:type="dxa"/>
            <w:vAlign w:val="center"/>
          </w:tcPr>
          <w:p w14:paraId="7E44744D">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063" w:type="dxa"/>
            <w:vAlign w:val="center"/>
          </w:tcPr>
          <w:p w14:paraId="375CC2DF">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r>
      <w:tr w14:paraId="3FF6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3C3A67F">
            <w:pPr>
              <w:keepNext w:val="0"/>
              <w:keepLines w:val="0"/>
              <w:pageBreakBefore w:val="0"/>
              <w:widowControl w:val="0"/>
              <w:shd w:val="clea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2</w:t>
            </w:r>
          </w:p>
        </w:tc>
        <w:tc>
          <w:tcPr>
            <w:tcW w:w="1701" w:type="dxa"/>
            <w:vAlign w:val="center"/>
          </w:tcPr>
          <w:p w14:paraId="10A688E0">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276" w:type="dxa"/>
            <w:vAlign w:val="center"/>
          </w:tcPr>
          <w:p w14:paraId="74F664A7">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105" w:type="dxa"/>
            <w:vAlign w:val="center"/>
          </w:tcPr>
          <w:p w14:paraId="0B377CD0">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276" w:type="dxa"/>
            <w:vAlign w:val="center"/>
          </w:tcPr>
          <w:p w14:paraId="0739A2A5">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375" w:type="dxa"/>
            <w:vAlign w:val="center"/>
          </w:tcPr>
          <w:p w14:paraId="1B545576">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063" w:type="dxa"/>
            <w:vAlign w:val="center"/>
          </w:tcPr>
          <w:p w14:paraId="4DB5B7B1">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r>
      <w:tr w14:paraId="0010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7C6179E">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w:t>
            </w:r>
          </w:p>
        </w:tc>
        <w:tc>
          <w:tcPr>
            <w:tcW w:w="1701" w:type="dxa"/>
            <w:vAlign w:val="center"/>
          </w:tcPr>
          <w:p w14:paraId="1D18CEBE">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276" w:type="dxa"/>
            <w:vAlign w:val="center"/>
          </w:tcPr>
          <w:p w14:paraId="3FCCB07E">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105" w:type="dxa"/>
            <w:vAlign w:val="center"/>
          </w:tcPr>
          <w:p w14:paraId="581B9A3D">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276" w:type="dxa"/>
            <w:vAlign w:val="center"/>
          </w:tcPr>
          <w:p w14:paraId="48664868">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375" w:type="dxa"/>
            <w:vAlign w:val="center"/>
          </w:tcPr>
          <w:p w14:paraId="19BE9071">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063" w:type="dxa"/>
            <w:vAlign w:val="center"/>
          </w:tcPr>
          <w:p w14:paraId="46B8952B">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r>
    </w:tbl>
    <w:p w14:paraId="0D2EFE57">
      <w:pPr>
        <w:shd w:val="clear"/>
        <w:spacing w:before="156" w:beforeLines="50"/>
        <w:ind w:firstLine="0" w:firstLineChars="0"/>
        <w:jc w:val="center"/>
        <w:rPr>
          <w:rFonts w:hint="eastAsia" w:ascii="Times New Roman" w:hAnsi="Times New Roman" w:eastAsia="仿宋" w:cs="Times New Roman"/>
          <w:b w:val="0"/>
          <w:bCs w:val="0"/>
          <w:color w:val="auto"/>
          <w:sz w:val="28"/>
          <w:szCs w:val="28"/>
          <w:highlight w:val="none"/>
          <w:lang w:eastAsia="zh-CN"/>
        </w:rPr>
      </w:pPr>
      <w:bookmarkStart w:id="5" w:name="_Hlk80053557"/>
      <w:r>
        <w:rPr>
          <w:rFonts w:hint="default" w:ascii="Times New Roman" w:hAnsi="Times New Roman" w:eastAsia="仿宋" w:cs="Times New Roman"/>
          <w:b w:val="0"/>
          <w:bCs w:val="0"/>
          <w:color w:val="auto"/>
          <w:sz w:val="28"/>
          <w:szCs w:val="28"/>
          <w:highlight w:val="none"/>
        </w:rPr>
        <w:t>表</w:t>
      </w:r>
      <w:r>
        <w:rPr>
          <w:rFonts w:hint="default" w:ascii="Times New Roman" w:hAnsi="Times New Roman" w:eastAsia="仿宋" w:cs="Times New Roman"/>
          <w:b w:val="0"/>
          <w:bCs w:val="0"/>
          <w:color w:val="auto"/>
          <w:sz w:val="28"/>
          <w:szCs w:val="28"/>
          <w:highlight w:val="none"/>
          <w:lang w:val="en-US" w:eastAsia="zh-CN"/>
        </w:rPr>
        <w:t>3</w:t>
      </w:r>
      <w:r>
        <w:rPr>
          <w:rFonts w:hint="default" w:ascii="Times New Roman" w:hAnsi="Times New Roman" w:eastAsia="仿宋" w:cs="Times New Roman"/>
          <w:b w:val="0"/>
          <w:bCs w:val="0"/>
          <w:color w:val="auto"/>
          <w:sz w:val="28"/>
          <w:szCs w:val="28"/>
          <w:highlight w:val="none"/>
        </w:rPr>
        <w:t xml:space="preserve"> 学生毕业要求达成情况评价依据表</w:t>
      </w:r>
      <w:r>
        <w:rPr>
          <w:rFonts w:hint="eastAsia"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lang w:eastAsia="zh-CN"/>
        </w:rPr>
        <w:t>针对</w:t>
      </w:r>
      <w:r>
        <w:rPr>
          <w:rFonts w:hint="default" w:ascii="Times New Roman" w:hAnsi="Times New Roman" w:eastAsia="仿宋" w:cs="Times New Roman"/>
          <w:b w:val="0"/>
          <w:bCs w:val="0"/>
          <w:color w:val="auto"/>
          <w:sz w:val="28"/>
          <w:szCs w:val="28"/>
          <w:highlight w:val="none"/>
        </w:rPr>
        <w:t>观测点</w:t>
      </w:r>
      <w:r>
        <w:rPr>
          <w:rFonts w:hint="eastAsia" w:ascii="Times New Roman" w:hAnsi="Times New Roman" w:eastAsia="仿宋" w:cs="Times New Roman"/>
          <w:b w:val="0"/>
          <w:bCs w:val="0"/>
          <w:color w:val="auto"/>
          <w:sz w:val="28"/>
          <w:szCs w:val="28"/>
          <w:highlight w:val="none"/>
          <w:lang w:eastAsia="zh-CN"/>
        </w:rPr>
        <w:t>）</w:t>
      </w:r>
    </w:p>
    <w:tbl>
      <w:tblPr>
        <w:tblStyle w:val="11"/>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1745"/>
        <w:gridCol w:w="1965"/>
        <w:gridCol w:w="1011"/>
        <w:gridCol w:w="913"/>
        <w:gridCol w:w="1134"/>
      </w:tblGrid>
      <w:tr w14:paraId="01FB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Align w:val="center"/>
          </w:tcPr>
          <w:p w14:paraId="2684FA00">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专业</w:t>
            </w:r>
          </w:p>
          <w:p w14:paraId="16DDF10A">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毕业要求</w:t>
            </w:r>
          </w:p>
        </w:tc>
        <w:tc>
          <w:tcPr>
            <w:tcW w:w="1745" w:type="dxa"/>
            <w:vAlign w:val="center"/>
          </w:tcPr>
          <w:p w14:paraId="69FEB42D">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观测</w:t>
            </w:r>
            <w:r>
              <w:rPr>
                <w:rFonts w:hint="default" w:ascii="Times New Roman" w:hAnsi="Times New Roman" w:eastAsia="仿宋" w:cs="Times New Roman"/>
                <w:b w:val="0"/>
                <w:bCs w:val="0"/>
                <w:color w:val="auto"/>
                <w:kern w:val="0"/>
                <w:sz w:val="28"/>
                <w:szCs w:val="28"/>
                <w:highlight w:val="none"/>
                <w:lang w:eastAsia="en-US"/>
              </w:rPr>
              <w:t>点</w:t>
            </w:r>
          </w:p>
        </w:tc>
        <w:tc>
          <w:tcPr>
            <w:tcW w:w="1965" w:type="dxa"/>
            <w:vAlign w:val="center"/>
          </w:tcPr>
          <w:p w14:paraId="6A482431">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color w:val="auto"/>
                <w:kern w:val="0"/>
                <w:sz w:val="28"/>
                <w:szCs w:val="28"/>
                <w:highlight w:val="none"/>
              </w:rPr>
              <w:t>评价课程/相关的课程目标</w:t>
            </w:r>
          </w:p>
        </w:tc>
        <w:tc>
          <w:tcPr>
            <w:tcW w:w="1011" w:type="dxa"/>
            <w:vAlign w:val="center"/>
          </w:tcPr>
          <w:p w14:paraId="49F79E65">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评价</w:t>
            </w:r>
          </w:p>
          <w:p w14:paraId="42E28594">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数据</w:t>
            </w:r>
          </w:p>
        </w:tc>
        <w:tc>
          <w:tcPr>
            <w:tcW w:w="913" w:type="dxa"/>
            <w:vAlign w:val="center"/>
          </w:tcPr>
          <w:p w14:paraId="1844EE49">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评价</w:t>
            </w:r>
          </w:p>
          <w:p w14:paraId="57B0A610">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方法</w:t>
            </w:r>
          </w:p>
        </w:tc>
        <w:tc>
          <w:tcPr>
            <w:tcW w:w="1134" w:type="dxa"/>
            <w:vAlign w:val="center"/>
          </w:tcPr>
          <w:p w14:paraId="6193DE44">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责任人</w:t>
            </w:r>
          </w:p>
        </w:tc>
      </w:tr>
      <w:tr w14:paraId="3768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Merge w:val="restart"/>
            <w:vAlign w:val="center"/>
          </w:tcPr>
          <w:p w14:paraId="41E63EE3">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p>
          <w:p w14:paraId="1134F869">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毕业要求1：描述…</w:t>
            </w:r>
          </w:p>
        </w:tc>
        <w:tc>
          <w:tcPr>
            <w:tcW w:w="1745" w:type="dxa"/>
            <w:vMerge w:val="restart"/>
          </w:tcPr>
          <w:p w14:paraId="15CDB837">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p w14:paraId="63D68F24">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1.1描述…..</w:t>
            </w:r>
          </w:p>
        </w:tc>
        <w:tc>
          <w:tcPr>
            <w:tcW w:w="1965" w:type="dxa"/>
          </w:tcPr>
          <w:p w14:paraId="4655652B">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left"/>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color w:val="auto"/>
                <w:kern w:val="0"/>
                <w:sz w:val="28"/>
                <w:szCs w:val="28"/>
                <w:highlight w:val="none"/>
              </w:rPr>
              <w:t>课程1/相关课程目标的内涵</w:t>
            </w:r>
          </w:p>
        </w:tc>
        <w:tc>
          <w:tcPr>
            <w:tcW w:w="1011" w:type="dxa"/>
          </w:tcPr>
          <w:p w14:paraId="3E5D43B5">
            <w:pPr>
              <w:keepNext w:val="0"/>
              <w:keepLines w:val="0"/>
              <w:pageBreakBefore w:val="0"/>
              <w:widowControl/>
              <w:shd w:val="clear"/>
              <w:kinsoku/>
              <w:wordWrap/>
              <w:overflowPunct/>
              <w:topLinePunct w:val="0"/>
              <w:autoSpaceDE/>
              <w:autoSpaceDN/>
              <w:bidi w:val="0"/>
              <w:adjustRightInd w:val="0"/>
              <w:snapToGrid w:val="0"/>
              <w:spacing w:after="0" w:line="240" w:lineRule="auto"/>
              <w:ind w:left="0" w:leftChars="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color w:val="auto"/>
                <w:kern w:val="0"/>
                <w:sz w:val="28"/>
                <w:szCs w:val="28"/>
                <w:highlight w:val="none"/>
              </w:rPr>
              <w:t>课程目标的评价依据及达成评价结果</w:t>
            </w:r>
          </w:p>
        </w:tc>
        <w:tc>
          <w:tcPr>
            <w:tcW w:w="913" w:type="dxa"/>
          </w:tcPr>
          <w:p w14:paraId="21D32947">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4" w:type="dxa"/>
          </w:tcPr>
          <w:p w14:paraId="6E941B2B">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79DC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Merge w:val="continue"/>
          </w:tcPr>
          <w:p w14:paraId="3EE08363">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745" w:type="dxa"/>
            <w:vMerge w:val="continue"/>
          </w:tcPr>
          <w:p w14:paraId="07DA3072">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965" w:type="dxa"/>
            <w:vAlign w:val="center"/>
          </w:tcPr>
          <w:p w14:paraId="5C8C2962">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eastAsia" w:ascii="Times New Roman" w:hAnsi="Times New Roman" w:eastAsia="仿宋" w:cs="Times New Roman"/>
                <w:b w:val="0"/>
                <w:bCs w:val="0"/>
                <w:color w:val="auto"/>
                <w:kern w:val="0"/>
                <w:sz w:val="28"/>
                <w:szCs w:val="28"/>
                <w:highlight w:val="none"/>
                <w:lang w:val="en-US" w:eastAsia="zh-CN"/>
              </w:rPr>
              <w:t>课程2/</w:t>
            </w:r>
            <w:r>
              <w:rPr>
                <w:rFonts w:hint="default" w:ascii="Times New Roman" w:hAnsi="Times New Roman" w:eastAsia="仿宋" w:cs="Times New Roman"/>
                <w:b w:val="0"/>
                <w:bCs w:val="0"/>
                <w:color w:val="auto"/>
                <w:kern w:val="0"/>
                <w:sz w:val="28"/>
                <w:szCs w:val="28"/>
                <w:highlight w:val="none"/>
                <w:lang w:eastAsia="zh-CN"/>
              </w:rPr>
              <w:t>同上</w:t>
            </w:r>
          </w:p>
        </w:tc>
        <w:tc>
          <w:tcPr>
            <w:tcW w:w="1011" w:type="dxa"/>
          </w:tcPr>
          <w:p w14:paraId="62B1D2D0">
            <w:pPr>
              <w:keepNext w:val="0"/>
              <w:keepLines w:val="0"/>
              <w:pageBreakBefore w:val="0"/>
              <w:widowControl/>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auto"/>
              <w:rPr>
                <w:rFonts w:hint="eastAsia" w:ascii="Times New Roman" w:hAnsi="Times New Roman" w:eastAsia="仿宋" w:cs="Times New Roman"/>
                <w:b w:val="0"/>
                <w:bCs w:val="0"/>
                <w:color w:val="auto"/>
                <w:kern w:val="0"/>
                <w:sz w:val="28"/>
                <w:szCs w:val="28"/>
                <w:highlight w:val="none"/>
                <w:lang w:val="en-US" w:eastAsia="zh-CN"/>
              </w:rPr>
            </w:pPr>
            <w:r>
              <w:rPr>
                <w:rFonts w:hint="eastAsia" w:ascii="Times New Roman" w:hAnsi="Times New Roman" w:eastAsia="仿宋" w:cs="Times New Roman"/>
                <w:b w:val="0"/>
                <w:bCs w:val="0"/>
                <w:color w:val="auto"/>
                <w:kern w:val="0"/>
                <w:sz w:val="28"/>
                <w:szCs w:val="28"/>
                <w:highlight w:val="none"/>
                <w:lang w:val="en-US" w:eastAsia="zh-CN"/>
              </w:rPr>
              <w:t>同上</w:t>
            </w:r>
          </w:p>
        </w:tc>
        <w:tc>
          <w:tcPr>
            <w:tcW w:w="913" w:type="dxa"/>
          </w:tcPr>
          <w:p w14:paraId="76226445">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4" w:type="dxa"/>
          </w:tcPr>
          <w:p w14:paraId="7D6374B0">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5659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Merge w:val="continue"/>
          </w:tcPr>
          <w:p w14:paraId="4E0FA749">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745" w:type="dxa"/>
            <w:vMerge w:val="continue"/>
          </w:tcPr>
          <w:p w14:paraId="60A55941">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965" w:type="dxa"/>
          </w:tcPr>
          <w:p w14:paraId="18DFD587">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w:t>
            </w:r>
          </w:p>
        </w:tc>
        <w:tc>
          <w:tcPr>
            <w:tcW w:w="1011" w:type="dxa"/>
          </w:tcPr>
          <w:p w14:paraId="0D6F39A4">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c>
          <w:tcPr>
            <w:tcW w:w="913" w:type="dxa"/>
          </w:tcPr>
          <w:p w14:paraId="68FAC8BC">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c>
          <w:tcPr>
            <w:tcW w:w="1134" w:type="dxa"/>
          </w:tcPr>
          <w:p w14:paraId="1B871DB5">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r>
      <w:tr w14:paraId="6304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Merge w:val="continue"/>
          </w:tcPr>
          <w:p w14:paraId="3FAA533B">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c>
          <w:tcPr>
            <w:tcW w:w="1745" w:type="dxa"/>
            <w:vMerge w:val="restart"/>
            <w:vAlign w:val="center"/>
          </w:tcPr>
          <w:p w14:paraId="01DE1EF6">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1.2描述…..</w:t>
            </w:r>
          </w:p>
        </w:tc>
        <w:tc>
          <w:tcPr>
            <w:tcW w:w="1965" w:type="dxa"/>
          </w:tcPr>
          <w:p w14:paraId="1DAB406A">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val="en-US"/>
              </w:rPr>
            </w:pPr>
            <w:r>
              <w:rPr>
                <w:rFonts w:hint="eastAsia" w:ascii="Times New Roman" w:hAnsi="Times New Roman" w:eastAsia="仿宋" w:cs="Times New Roman"/>
                <w:b w:val="0"/>
                <w:bCs w:val="0"/>
                <w:color w:val="auto"/>
                <w:kern w:val="0"/>
                <w:sz w:val="28"/>
                <w:szCs w:val="28"/>
                <w:highlight w:val="none"/>
                <w:lang w:val="en-US" w:eastAsia="zh-CN"/>
              </w:rPr>
              <w:t>课程1/同上</w:t>
            </w:r>
          </w:p>
        </w:tc>
        <w:tc>
          <w:tcPr>
            <w:tcW w:w="1011" w:type="dxa"/>
          </w:tcPr>
          <w:p w14:paraId="0D93CDD0">
            <w:pPr>
              <w:keepNext w:val="0"/>
              <w:keepLines w:val="0"/>
              <w:pageBreakBefore w:val="0"/>
              <w:widowControl/>
              <w:shd w:val="clear"/>
              <w:kinsoku/>
              <w:wordWrap/>
              <w:overflowPunct/>
              <w:topLinePunct w:val="0"/>
              <w:autoSpaceDE/>
              <w:autoSpaceDN/>
              <w:bidi w:val="0"/>
              <w:adjustRightInd w:val="0"/>
              <w:snapToGrid w:val="0"/>
              <w:spacing w:after="0" w:line="240" w:lineRule="auto"/>
              <w:ind w:left="0" w:leftChars="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eastAsia" w:ascii="Times New Roman" w:hAnsi="Times New Roman" w:eastAsia="仿宋" w:cs="Times New Roman"/>
                <w:b w:val="0"/>
                <w:bCs w:val="0"/>
                <w:color w:val="auto"/>
                <w:kern w:val="0"/>
                <w:sz w:val="28"/>
                <w:szCs w:val="28"/>
                <w:highlight w:val="none"/>
                <w:lang w:val="en-US" w:eastAsia="zh-CN"/>
              </w:rPr>
              <w:t>同上</w:t>
            </w:r>
          </w:p>
        </w:tc>
        <w:tc>
          <w:tcPr>
            <w:tcW w:w="913" w:type="dxa"/>
          </w:tcPr>
          <w:p w14:paraId="10E3B0A2">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4" w:type="dxa"/>
          </w:tcPr>
          <w:p w14:paraId="515F8E17">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2530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Merge w:val="continue"/>
          </w:tcPr>
          <w:p w14:paraId="501D1040">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745" w:type="dxa"/>
            <w:vMerge w:val="continue"/>
          </w:tcPr>
          <w:p w14:paraId="2C007594">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965" w:type="dxa"/>
            <w:vAlign w:val="center"/>
          </w:tcPr>
          <w:p w14:paraId="31490986">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eastAsia" w:ascii="Times New Roman" w:hAnsi="Times New Roman" w:eastAsia="仿宋" w:cs="Times New Roman"/>
                <w:b w:val="0"/>
                <w:bCs w:val="0"/>
                <w:color w:val="auto"/>
                <w:kern w:val="0"/>
                <w:sz w:val="28"/>
                <w:szCs w:val="28"/>
                <w:highlight w:val="none"/>
                <w:lang w:val="en-US" w:eastAsia="zh-CN"/>
              </w:rPr>
              <w:t>课程2/</w:t>
            </w:r>
            <w:r>
              <w:rPr>
                <w:rFonts w:hint="default" w:ascii="Times New Roman" w:hAnsi="Times New Roman" w:eastAsia="仿宋" w:cs="Times New Roman"/>
                <w:b w:val="0"/>
                <w:bCs w:val="0"/>
                <w:color w:val="auto"/>
                <w:kern w:val="0"/>
                <w:sz w:val="28"/>
                <w:szCs w:val="28"/>
                <w:highlight w:val="none"/>
                <w:lang w:eastAsia="zh-CN"/>
              </w:rPr>
              <w:t>同上</w:t>
            </w:r>
          </w:p>
        </w:tc>
        <w:tc>
          <w:tcPr>
            <w:tcW w:w="1011" w:type="dxa"/>
          </w:tcPr>
          <w:p w14:paraId="1F23AF04">
            <w:pPr>
              <w:keepNext w:val="0"/>
              <w:keepLines w:val="0"/>
              <w:pageBreakBefore w:val="0"/>
              <w:widowControl/>
              <w:shd w:val="clear"/>
              <w:kinsoku/>
              <w:wordWrap/>
              <w:overflowPunct/>
              <w:topLinePunct w:val="0"/>
              <w:autoSpaceDE/>
              <w:autoSpaceDN/>
              <w:bidi w:val="0"/>
              <w:adjustRightInd w:val="0"/>
              <w:snapToGrid w:val="0"/>
              <w:spacing w:after="0" w:line="240" w:lineRule="auto"/>
              <w:ind w:left="0" w:leftChars="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eastAsia" w:ascii="Times New Roman" w:hAnsi="Times New Roman" w:eastAsia="仿宋" w:cs="Times New Roman"/>
                <w:b w:val="0"/>
                <w:bCs w:val="0"/>
                <w:color w:val="auto"/>
                <w:kern w:val="0"/>
                <w:sz w:val="28"/>
                <w:szCs w:val="28"/>
                <w:highlight w:val="none"/>
                <w:lang w:val="en-US" w:eastAsia="zh-CN"/>
              </w:rPr>
              <w:t>同上</w:t>
            </w:r>
          </w:p>
        </w:tc>
        <w:tc>
          <w:tcPr>
            <w:tcW w:w="913" w:type="dxa"/>
          </w:tcPr>
          <w:p w14:paraId="71FE86C6">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4" w:type="dxa"/>
          </w:tcPr>
          <w:p w14:paraId="20226695">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09C0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Merge w:val="continue"/>
          </w:tcPr>
          <w:p w14:paraId="13827D31">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745" w:type="dxa"/>
            <w:vMerge w:val="continue"/>
          </w:tcPr>
          <w:p w14:paraId="0019F08B">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965" w:type="dxa"/>
          </w:tcPr>
          <w:p w14:paraId="2EE2369C">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w:t>
            </w:r>
          </w:p>
        </w:tc>
        <w:tc>
          <w:tcPr>
            <w:tcW w:w="1011" w:type="dxa"/>
          </w:tcPr>
          <w:p w14:paraId="606A472C">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c>
          <w:tcPr>
            <w:tcW w:w="913" w:type="dxa"/>
          </w:tcPr>
          <w:p w14:paraId="7ADAD8E1">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c>
          <w:tcPr>
            <w:tcW w:w="1134" w:type="dxa"/>
          </w:tcPr>
          <w:p w14:paraId="4BF48AB7">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r>
    </w:tbl>
    <w:p w14:paraId="6AA0EFB3">
      <w:pPr>
        <w:shd w:val="clear"/>
        <w:spacing w:before="156" w:beforeLines="50"/>
        <w:ind w:firstLine="0" w:firstLineChars="0"/>
        <w:jc w:val="center"/>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表</w:t>
      </w:r>
      <w:r>
        <w:rPr>
          <w:rFonts w:hint="default" w:ascii="Times New Roman" w:hAnsi="Times New Roman" w:eastAsia="仿宋" w:cs="Times New Roman"/>
          <w:b w:val="0"/>
          <w:bCs w:val="0"/>
          <w:color w:val="auto"/>
          <w:sz w:val="28"/>
          <w:szCs w:val="28"/>
          <w:highlight w:val="none"/>
          <w:lang w:val="en-US" w:eastAsia="zh-CN"/>
        </w:rPr>
        <w:t>4</w:t>
      </w:r>
      <w:r>
        <w:rPr>
          <w:rFonts w:hint="default" w:ascii="Times New Roman" w:hAnsi="Times New Roman" w:eastAsia="仿宋" w:cs="Times New Roman"/>
          <w:b w:val="0"/>
          <w:bCs w:val="0"/>
          <w:color w:val="auto"/>
          <w:sz w:val="28"/>
          <w:szCs w:val="28"/>
          <w:highlight w:val="none"/>
        </w:rPr>
        <w:t xml:space="preserve"> 学生毕业要求达成情况评价依据表</w:t>
      </w:r>
      <w:r>
        <w:rPr>
          <w:rFonts w:hint="default" w:ascii="Times New Roman" w:hAnsi="Times New Roman" w:eastAsia="仿宋" w:cs="Times New Roman"/>
          <w:b w:val="0"/>
          <w:bCs w:val="0"/>
          <w:color w:val="auto"/>
          <w:sz w:val="28"/>
          <w:szCs w:val="28"/>
          <w:highlight w:val="none"/>
          <w:lang w:eastAsia="zh-CN"/>
        </w:rPr>
        <w:t>（针对毕业要求）</w:t>
      </w:r>
    </w:p>
    <w:tbl>
      <w:tblPr>
        <w:tblStyle w:val="11"/>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2157"/>
        <w:gridCol w:w="1923"/>
        <w:gridCol w:w="1572"/>
        <w:gridCol w:w="1139"/>
      </w:tblGrid>
      <w:tr w14:paraId="5703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Align w:val="center"/>
          </w:tcPr>
          <w:p w14:paraId="4DA5CB9F">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专业</w:t>
            </w:r>
          </w:p>
          <w:p w14:paraId="3182BC71">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毕业要求</w:t>
            </w:r>
          </w:p>
        </w:tc>
        <w:tc>
          <w:tcPr>
            <w:tcW w:w="2157" w:type="dxa"/>
            <w:vAlign w:val="center"/>
          </w:tcPr>
          <w:p w14:paraId="091713A6">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color w:val="auto"/>
                <w:kern w:val="0"/>
                <w:sz w:val="28"/>
                <w:szCs w:val="28"/>
                <w:highlight w:val="none"/>
              </w:rPr>
              <w:t>评价课程/相关的课程目标</w:t>
            </w:r>
          </w:p>
        </w:tc>
        <w:tc>
          <w:tcPr>
            <w:tcW w:w="1923" w:type="dxa"/>
            <w:vAlign w:val="center"/>
          </w:tcPr>
          <w:p w14:paraId="507380C2">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评价</w:t>
            </w:r>
          </w:p>
          <w:p w14:paraId="7CC9BD8F">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数据</w:t>
            </w:r>
          </w:p>
        </w:tc>
        <w:tc>
          <w:tcPr>
            <w:tcW w:w="1572" w:type="dxa"/>
            <w:vAlign w:val="center"/>
          </w:tcPr>
          <w:p w14:paraId="276E824B">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评价</w:t>
            </w:r>
          </w:p>
          <w:p w14:paraId="66B015D8">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方法</w:t>
            </w:r>
          </w:p>
        </w:tc>
        <w:tc>
          <w:tcPr>
            <w:tcW w:w="1139" w:type="dxa"/>
            <w:vAlign w:val="center"/>
          </w:tcPr>
          <w:p w14:paraId="247E1075">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责任人</w:t>
            </w:r>
          </w:p>
        </w:tc>
      </w:tr>
      <w:tr w14:paraId="57AF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Merge w:val="restart"/>
            <w:vAlign w:val="center"/>
          </w:tcPr>
          <w:p w14:paraId="2F97CE44">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p>
          <w:p w14:paraId="3EBA776F">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毕业要求1：描述…</w:t>
            </w:r>
          </w:p>
        </w:tc>
        <w:tc>
          <w:tcPr>
            <w:tcW w:w="2157" w:type="dxa"/>
            <w:vAlign w:val="center"/>
          </w:tcPr>
          <w:p w14:paraId="0C9F6EA6">
            <w:pPr>
              <w:keepNext w:val="0"/>
              <w:keepLines w:val="0"/>
              <w:pageBreakBefore w:val="0"/>
              <w:widowControl/>
              <w:shd w:val="clear"/>
              <w:kinsoku/>
              <w:wordWrap/>
              <w:overflowPunct/>
              <w:topLinePunct w:val="0"/>
              <w:autoSpaceDE/>
              <w:autoSpaceDN/>
              <w:bidi w:val="0"/>
              <w:adjustRightInd w:val="0"/>
              <w:snapToGrid w:val="0"/>
              <w:spacing w:after="0" w:line="240" w:lineRule="auto"/>
              <w:ind w:left="18" w:firstLine="0" w:firstLineChars="0"/>
              <w:contextualSpacing/>
              <w:jc w:val="left"/>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color w:val="auto"/>
                <w:kern w:val="0"/>
                <w:sz w:val="28"/>
                <w:szCs w:val="28"/>
                <w:highlight w:val="none"/>
              </w:rPr>
              <w:t>课程1/相关课程目标的内涵</w:t>
            </w:r>
          </w:p>
        </w:tc>
        <w:tc>
          <w:tcPr>
            <w:tcW w:w="1923" w:type="dxa"/>
          </w:tcPr>
          <w:p w14:paraId="21065FED">
            <w:pPr>
              <w:keepNext w:val="0"/>
              <w:keepLines w:val="0"/>
              <w:pageBreakBefore w:val="0"/>
              <w:widowControl/>
              <w:shd w:val="clear"/>
              <w:kinsoku/>
              <w:wordWrap/>
              <w:overflowPunct/>
              <w:topLinePunct w:val="0"/>
              <w:autoSpaceDE/>
              <w:autoSpaceDN/>
              <w:bidi w:val="0"/>
              <w:adjustRightInd w:val="0"/>
              <w:snapToGrid w:val="0"/>
              <w:spacing w:after="0" w:line="240" w:lineRule="auto"/>
              <w:ind w:left="0" w:firstLine="0" w:firstLineChars="0"/>
              <w:contextualSpacing/>
              <w:jc w:val="left"/>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color w:val="auto"/>
                <w:kern w:val="0"/>
                <w:sz w:val="28"/>
                <w:szCs w:val="28"/>
                <w:highlight w:val="none"/>
              </w:rPr>
              <w:t>课程目标的评价依据及达成评价结果</w:t>
            </w:r>
          </w:p>
        </w:tc>
        <w:tc>
          <w:tcPr>
            <w:tcW w:w="1572" w:type="dxa"/>
          </w:tcPr>
          <w:p w14:paraId="2B2F7FC1">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9" w:type="dxa"/>
          </w:tcPr>
          <w:p w14:paraId="6E3EA764">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2CEE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Merge w:val="continue"/>
          </w:tcPr>
          <w:p w14:paraId="6749C1DB">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2157" w:type="dxa"/>
            <w:vAlign w:val="center"/>
          </w:tcPr>
          <w:p w14:paraId="3524B559">
            <w:pPr>
              <w:keepNext w:val="0"/>
              <w:keepLines w:val="0"/>
              <w:pageBreakBefore w:val="0"/>
              <w:widowControl/>
              <w:shd w:val="clear"/>
              <w:kinsoku/>
              <w:wordWrap/>
              <w:overflowPunct/>
              <w:topLinePunct w:val="0"/>
              <w:autoSpaceDE/>
              <w:autoSpaceDN/>
              <w:bidi w:val="0"/>
              <w:adjustRightInd/>
              <w:snapToGrid/>
              <w:spacing w:after="0" w:line="240" w:lineRule="auto"/>
              <w:ind w:left="18"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lang w:eastAsia="zh-CN"/>
              </w:rPr>
              <w:t>同上</w:t>
            </w:r>
          </w:p>
        </w:tc>
        <w:tc>
          <w:tcPr>
            <w:tcW w:w="1923" w:type="dxa"/>
          </w:tcPr>
          <w:p w14:paraId="0638CF95">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572" w:type="dxa"/>
          </w:tcPr>
          <w:p w14:paraId="39C4DA32">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9" w:type="dxa"/>
          </w:tcPr>
          <w:p w14:paraId="6B2F3A72">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192B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Merge w:val="continue"/>
          </w:tcPr>
          <w:p w14:paraId="0F51A967">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2157" w:type="dxa"/>
            <w:vAlign w:val="center"/>
          </w:tcPr>
          <w:p w14:paraId="00444F81">
            <w:pPr>
              <w:keepNext w:val="0"/>
              <w:keepLines w:val="0"/>
              <w:pageBreakBefore w:val="0"/>
              <w:widowControl/>
              <w:shd w:val="clear"/>
              <w:kinsoku/>
              <w:wordWrap/>
              <w:overflowPunct/>
              <w:topLinePunct w:val="0"/>
              <w:autoSpaceDE/>
              <w:autoSpaceDN/>
              <w:bidi w:val="0"/>
              <w:adjustRightInd/>
              <w:snapToGrid/>
              <w:spacing w:after="0" w:line="240" w:lineRule="auto"/>
              <w:ind w:left="18"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lang w:eastAsia="zh-CN"/>
              </w:rPr>
              <w:t>同上</w:t>
            </w:r>
          </w:p>
        </w:tc>
        <w:tc>
          <w:tcPr>
            <w:tcW w:w="1923" w:type="dxa"/>
          </w:tcPr>
          <w:p w14:paraId="0B14F6A0">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572" w:type="dxa"/>
          </w:tcPr>
          <w:p w14:paraId="02A1EAAF">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9" w:type="dxa"/>
          </w:tcPr>
          <w:p w14:paraId="21D57849">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4F79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Merge w:val="continue"/>
          </w:tcPr>
          <w:p w14:paraId="78BA8C23">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2157" w:type="dxa"/>
            <w:vAlign w:val="center"/>
          </w:tcPr>
          <w:p w14:paraId="029803B1">
            <w:pPr>
              <w:keepNext w:val="0"/>
              <w:keepLines w:val="0"/>
              <w:pageBreakBefore w:val="0"/>
              <w:widowControl/>
              <w:shd w:val="clear"/>
              <w:kinsoku/>
              <w:wordWrap/>
              <w:overflowPunct/>
              <w:topLinePunct w:val="0"/>
              <w:autoSpaceDE/>
              <w:autoSpaceDN/>
              <w:bidi w:val="0"/>
              <w:adjustRightInd/>
              <w:snapToGrid/>
              <w:spacing w:after="0" w:line="240" w:lineRule="auto"/>
              <w:ind w:left="301"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w:t>
            </w:r>
          </w:p>
        </w:tc>
        <w:tc>
          <w:tcPr>
            <w:tcW w:w="1923" w:type="dxa"/>
            <w:vAlign w:val="center"/>
          </w:tcPr>
          <w:p w14:paraId="53A0B53E">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p>
        </w:tc>
        <w:tc>
          <w:tcPr>
            <w:tcW w:w="1572" w:type="dxa"/>
            <w:vAlign w:val="center"/>
          </w:tcPr>
          <w:p w14:paraId="305C13E5">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p>
        </w:tc>
        <w:tc>
          <w:tcPr>
            <w:tcW w:w="1139" w:type="dxa"/>
            <w:vAlign w:val="center"/>
          </w:tcPr>
          <w:p w14:paraId="4D45BD16">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p>
        </w:tc>
      </w:tr>
      <w:tr w14:paraId="4B40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Align w:val="center"/>
          </w:tcPr>
          <w:p w14:paraId="25B00214">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毕业要求</w:t>
            </w:r>
            <w:r>
              <w:rPr>
                <w:rFonts w:hint="default" w:ascii="Times New Roman" w:hAnsi="Times New Roman" w:eastAsia="仿宋" w:cs="Times New Roman"/>
                <w:b w:val="0"/>
                <w:bCs w:val="0"/>
                <w:color w:val="auto"/>
                <w:kern w:val="0"/>
                <w:sz w:val="28"/>
                <w:szCs w:val="28"/>
                <w:highlight w:val="none"/>
              </w:rPr>
              <w:t>2</w:t>
            </w:r>
            <w:r>
              <w:rPr>
                <w:rFonts w:hint="default" w:ascii="Times New Roman" w:hAnsi="Times New Roman" w:eastAsia="仿宋" w:cs="Times New Roman"/>
                <w:b w:val="0"/>
                <w:bCs w:val="0"/>
                <w:color w:val="auto"/>
                <w:kern w:val="0"/>
                <w:sz w:val="28"/>
                <w:szCs w:val="28"/>
                <w:highlight w:val="none"/>
                <w:lang w:eastAsia="en-US"/>
              </w:rPr>
              <w:t>：描述…</w:t>
            </w:r>
          </w:p>
        </w:tc>
        <w:tc>
          <w:tcPr>
            <w:tcW w:w="2157" w:type="dxa"/>
            <w:vAlign w:val="center"/>
          </w:tcPr>
          <w:p w14:paraId="07F775ED">
            <w:pPr>
              <w:keepNext w:val="0"/>
              <w:keepLines w:val="0"/>
              <w:pageBreakBefore w:val="0"/>
              <w:widowControl/>
              <w:shd w:val="clear"/>
              <w:kinsoku/>
              <w:wordWrap/>
              <w:overflowPunct/>
              <w:topLinePunct w:val="0"/>
              <w:autoSpaceDE/>
              <w:autoSpaceDN/>
              <w:bidi w:val="0"/>
              <w:adjustRightInd/>
              <w:snapToGrid/>
              <w:spacing w:line="240" w:lineRule="auto"/>
              <w:ind w:left="301"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w:t>
            </w:r>
          </w:p>
        </w:tc>
        <w:tc>
          <w:tcPr>
            <w:tcW w:w="1923" w:type="dxa"/>
            <w:vAlign w:val="center"/>
          </w:tcPr>
          <w:p w14:paraId="4ACC0D8B">
            <w:pPr>
              <w:keepNext w:val="0"/>
              <w:keepLines w:val="0"/>
              <w:pageBreakBefore w:val="0"/>
              <w:widowControl/>
              <w:shd w:val="clear"/>
              <w:kinsoku/>
              <w:wordWrap/>
              <w:overflowPunct/>
              <w:topLinePunct w:val="0"/>
              <w:autoSpaceDE/>
              <w:autoSpaceDN/>
              <w:bidi w:val="0"/>
              <w:adjustRightInd w:val="0"/>
              <w:snapToGrid w:val="0"/>
              <w:spacing w:line="240" w:lineRule="auto"/>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w:t>
            </w:r>
          </w:p>
        </w:tc>
        <w:tc>
          <w:tcPr>
            <w:tcW w:w="1572" w:type="dxa"/>
            <w:vAlign w:val="center"/>
          </w:tcPr>
          <w:p w14:paraId="5C19F84A">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w:t>
            </w:r>
          </w:p>
        </w:tc>
        <w:tc>
          <w:tcPr>
            <w:tcW w:w="1139" w:type="dxa"/>
            <w:vAlign w:val="center"/>
          </w:tcPr>
          <w:p w14:paraId="4EBA0BE1">
            <w:pPr>
              <w:keepNext w:val="0"/>
              <w:keepLines w:val="0"/>
              <w:pageBreakBefore w:val="0"/>
              <w:widowControl/>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w:t>
            </w:r>
          </w:p>
        </w:tc>
      </w:tr>
      <w:bookmarkEnd w:id="5"/>
    </w:tbl>
    <w:p w14:paraId="18B1245D">
      <w:pPr>
        <w:widowControl/>
        <w:shd w:val="clear"/>
        <w:spacing w:after="0" w:line="259" w:lineRule="auto"/>
        <w:ind w:firstLine="0" w:firstLineChars="0"/>
        <w:rPr>
          <w:rFonts w:ascii="Times New Roman" w:hAnsi="Times New Roman" w:eastAsia="黑体" w:cs="Times New Roman"/>
          <w:b/>
          <w:color w:val="auto"/>
          <w:sz w:val="30"/>
          <w:szCs w:val="30"/>
          <w:highlight w:val="none"/>
        </w:rPr>
      </w:pPr>
      <w:r>
        <w:rPr>
          <w:rFonts w:hint="eastAsia" w:ascii="Times New Roman" w:hAnsi="Times New Roman" w:eastAsia="黑体" w:cs="Times New Roman"/>
          <w:b/>
          <w:color w:val="auto"/>
          <w:sz w:val="30"/>
          <w:szCs w:val="30"/>
          <w:highlight w:val="none"/>
        </w:rPr>
        <w:t>四、其他需要说明的改进情况和</w:t>
      </w:r>
      <w:bookmarkStart w:id="6" w:name="_Hlk151043621"/>
      <w:r>
        <w:rPr>
          <w:rFonts w:hint="eastAsia" w:ascii="Times New Roman" w:hAnsi="Times New Roman" w:eastAsia="黑体" w:cs="Times New Roman"/>
          <w:b/>
          <w:color w:val="auto"/>
          <w:sz w:val="30"/>
          <w:szCs w:val="30"/>
          <w:highlight w:val="none"/>
        </w:rPr>
        <w:t>专业重大变化情况</w:t>
      </w:r>
      <w:bookmarkEnd w:id="6"/>
    </w:p>
    <w:p w14:paraId="26D462E9">
      <w:pPr>
        <w:shd w:val="clear"/>
        <w:adjustRightInd w:val="0"/>
        <w:snapToGrid w:val="0"/>
        <w:spacing w:after="0"/>
        <w:ind w:firstLine="0" w:firstLineChars="0"/>
        <w:rPr>
          <w:rFonts w:ascii="Times New Roman" w:hAnsi="Times New Roman" w:eastAsia="仿宋" w:cs="Times New Roman"/>
          <w:color w:val="auto"/>
          <w:spacing w:val="-6"/>
          <w:sz w:val="30"/>
          <w:szCs w:val="30"/>
          <w:highlight w:val="none"/>
        </w:rPr>
      </w:pPr>
      <w:r>
        <w:rPr>
          <w:rFonts w:hint="eastAsia" w:ascii="黑体" w:hAnsi="黑体" w:eastAsia="黑体" w:cs="Times New Roman"/>
          <w:color w:val="auto"/>
          <w:sz w:val="30"/>
          <w:szCs w:val="30"/>
          <w:highlight w:val="none"/>
        </w:rPr>
        <w:t>（</w:t>
      </w:r>
      <w:r>
        <w:rPr>
          <w:rFonts w:hint="eastAsia" w:ascii="Times New Roman" w:hAnsi="Times New Roman" w:eastAsia="仿宋" w:cs="Times New Roman"/>
          <w:color w:val="auto"/>
          <w:sz w:val="30"/>
          <w:szCs w:val="30"/>
          <w:highlight w:val="none"/>
        </w:rPr>
        <w:t>专业重大变化情况包括专业合并、更名、分校区办同一专业、专业负责人变更、新设了其他培养的特殊组织并采用不同于原认证专业的培养方案等情况。不包含附件限2000字</w:t>
      </w:r>
      <w:r>
        <w:rPr>
          <w:rFonts w:hint="eastAsia" w:ascii="Times New Roman" w:hAnsi="Times New Roman" w:eastAsia="仿宋" w:cs="Times New Roman"/>
          <w:color w:val="auto"/>
          <w:spacing w:val="-6"/>
          <w:sz w:val="30"/>
          <w:szCs w:val="30"/>
          <w:highlight w:val="none"/>
        </w:rPr>
        <w:t>）</w:t>
      </w:r>
    </w:p>
    <w:p w14:paraId="18C0B415">
      <w:pPr>
        <w:shd w:val="clear"/>
        <w:adjustRightInd w:val="0"/>
        <w:snapToGrid w:val="0"/>
        <w:spacing w:after="0"/>
        <w:ind w:firstLine="0" w:firstLineChars="0"/>
        <w:rPr>
          <w:rFonts w:ascii="Times New Roman" w:hAnsi="Times New Roman" w:eastAsia="仿宋" w:cs="Times New Roman"/>
          <w:color w:val="auto"/>
          <w:spacing w:val="-6"/>
          <w:sz w:val="30"/>
          <w:szCs w:val="30"/>
          <w:highlight w:val="none"/>
        </w:rPr>
      </w:pPr>
    </w:p>
    <w:p w14:paraId="18A175E1">
      <w:pPr>
        <w:widowControl/>
        <w:shd w:val="clear"/>
        <w:spacing w:after="0" w:line="259" w:lineRule="auto"/>
        <w:ind w:firstLine="0" w:firstLineChars="0"/>
        <w:rPr>
          <w:rFonts w:ascii="Times New Roman" w:hAnsi="Times New Roman" w:eastAsia="黑体" w:cs="Times New Roman"/>
          <w:b/>
          <w:color w:val="auto"/>
          <w:sz w:val="30"/>
          <w:szCs w:val="30"/>
          <w:highlight w:val="none"/>
        </w:rPr>
      </w:pPr>
      <w:r>
        <w:rPr>
          <w:rFonts w:hint="eastAsia" w:ascii="Times New Roman" w:hAnsi="Times New Roman" w:eastAsia="黑体" w:cs="Times New Roman"/>
          <w:b/>
          <w:color w:val="auto"/>
          <w:sz w:val="30"/>
          <w:szCs w:val="30"/>
          <w:highlight w:val="none"/>
        </w:rPr>
        <w:t>五、相关附件</w:t>
      </w:r>
    </w:p>
    <w:p w14:paraId="6066405C">
      <w:pPr>
        <w:widowControl/>
        <w:shd w:val="clear"/>
        <w:spacing w:after="0" w:line="259" w:lineRule="auto"/>
        <w:ind w:firstLine="60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根据每年度报备原始材料，提供以下：</w:t>
      </w:r>
    </w:p>
    <w:p w14:paraId="4871DE23">
      <w:pPr>
        <w:widowControl/>
        <w:numPr>
          <w:ilvl w:val="0"/>
          <w:numId w:val="0"/>
        </w:numPr>
        <w:shd w:val="clear"/>
        <w:spacing w:after="0" w:line="259" w:lineRule="auto"/>
        <w:ind w:left="0" w:leftChars="0" w:firstLine="600" w:firstLineChars="200"/>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lang w:val="en-US" w:eastAsia="zh-CN"/>
        </w:rPr>
        <w:t>1.</w:t>
      </w:r>
      <w:r>
        <w:rPr>
          <w:rFonts w:hint="eastAsia"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lang w:val="en-US" w:eastAsia="zh-CN"/>
        </w:rPr>
        <w:t>本轮认证提出的问题和关注项改进情况的相关证据</w:t>
      </w:r>
    </w:p>
    <w:p w14:paraId="4E4F6233">
      <w:pPr>
        <w:widowControl/>
        <w:numPr>
          <w:ilvl w:val="0"/>
          <w:numId w:val="0"/>
        </w:numPr>
        <w:shd w:val="clear"/>
        <w:spacing w:after="0" w:line="259" w:lineRule="auto"/>
        <w:ind w:left="0" w:leftChars="0" w:firstLine="600" w:firstLineChars="200"/>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lang w:val="en-US" w:eastAsia="zh-CN"/>
        </w:rPr>
        <w:t>按照相关标准项分别提供对“存在问题或关注项”的改进措施和实施效果的证据材料。</w:t>
      </w:r>
    </w:p>
    <w:p w14:paraId="206C1214">
      <w:pPr>
        <w:widowControl/>
        <w:numPr>
          <w:ilvl w:val="0"/>
          <w:numId w:val="0"/>
        </w:numPr>
        <w:shd w:val="clear"/>
        <w:spacing w:after="0" w:line="259" w:lineRule="auto"/>
        <w:ind w:left="0" w:leftChars="0" w:firstLine="600" w:firstLineChars="200"/>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kern w:val="2"/>
          <w:sz w:val="30"/>
          <w:szCs w:val="30"/>
          <w:highlight w:val="none"/>
          <w:lang w:val="en-US" w:eastAsia="zh-CN" w:bidi="ar-SA"/>
        </w:rPr>
        <w:t>2.</w:t>
      </w:r>
      <w:r>
        <w:rPr>
          <w:rFonts w:hint="eastAsia" w:ascii="Times New Roman" w:hAnsi="Times New Roman" w:eastAsia="仿宋" w:cs="Times New Roman"/>
          <w:color w:val="auto"/>
          <w:kern w:val="2"/>
          <w:sz w:val="30"/>
          <w:szCs w:val="30"/>
          <w:highlight w:val="none"/>
          <w:lang w:val="en-US" w:eastAsia="zh-CN" w:bidi="ar-SA"/>
        </w:rPr>
        <w:t xml:space="preserve"> </w:t>
      </w:r>
      <w:r>
        <w:rPr>
          <w:rFonts w:hint="default" w:ascii="Times New Roman" w:hAnsi="Times New Roman" w:eastAsia="仿宋" w:cs="Times New Roman"/>
          <w:color w:val="auto"/>
          <w:sz w:val="30"/>
          <w:szCs w:val="30"/>
          <w:highlight w:val="none"/>
          <w:lang w:val="en-US" w:eastAsia="zh-CN"/>
        </w:rPr>
        <w:t>内部评价机制改进和运行情况的相关证据，包括：</w:t>
      </w:r>
    </w:p>
    <w:p w14:paraId="79D23BDB">
      <w:pPr>
        <w:widowControl/>
        <w:shd w:val="clear"/>
        <w:spacing w:after="0" w:line="259" w:lineRule="auto"/>
        <w:ind w:firstLine="600"/>
        <w:rPr>
          <w:rFonts w:ascii="Times New Roman" w:hAnsi="Times New Roman" w:eastAsia="仿宋" w:cs="Times New Roman"/>
          <w:color w:val="auto"/>
          <w:sz w:val="30"/>
          <w:szCs w:val="30"/>
          <w:highlight w:val="none"/>
        </w:rPr>
      </w:pPr>
      <w:bookmarkStart w:id="7" w:name="OLE_LINK3"/>
      <w:r>
        <w:rPr>
          <w:rFonts w:hint="eastAsia" w:ascii="Times New Roman" w:hAnsi="Times New Roman" w:eastAsia="仿宋" w:cs="Times New Roman"/>
          <w:color w:val="auto"/>
          <w:sz w:val="30"/>
          <w:szCs w:val="30"/>
          <w:highlight w:val="none"/>
          <w:lang w:val="en-US" w:eastAsia="zh-CN"/>
        </w:rPr>
        <w:t>（</w:t>
      </w:r>
      <w:bookmarkEnd w:id="7"/>
      <w:r>
        <w:rPr>
          <w:rFonts w:hint="eastAsia" w:ascii="Times New Roman" w:hAnsi="Times New Roman" w:eastAsia="仿宋" w:cs="Times New Roman"/>
          <w:color w:val="auto"/>
          <w:sz w:val="30"/>
          <w:szCs w:val="30"/>
          <w:highlight w:val="none"/>
          <w:lang w:val="en-US" w:eastAsia="zh-CN"/>
        </w:rPr>
        <w:t>1）</w:t>
      </w:r>
      <w:r>
        <w:rPr>
          <w:rFonts w:hint="eastAsia" w:ascii="Times New Roman" w:hAnsi="Times New Roman" w:eastAsia="仿宋" w:cs="Times New Roman"/>
          <w:color w:val="auto"/>
          <w:sz w:val="30"/>
          <w:szCs w:val="30"/>
          <w:highlight w:val="none"/>
        </w:rPr>
        <w:t>分年度提供近三年修订的面向产出有关制度文件，包括培养方案、课程教学大纲、产出评价制度文件等有关原始文档（需标注修订时间）</w:t>
      </w:r>
    </w:p>
    <w:p w14:paraId="380C1EDE">
      <w:pPr>
        <w:widowControl/>
        <w:shd w:val="clear"/>
        <w:spacing w:after="0" w:line="259" w:lineRule="auto"/>
        <w:ind w:firstLine="600"/>
        <w:rPr>
          <w:rFonts w:hint="default"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lang w:val="en-US" w:eastAsia="zh-CN"/>
        </w:rPr>
        <w:t>（2）</w:t>
      </w:r>
      <w:r>
        <w:rPr>
          <w:rFonts w:hint="eastAsia" w:ascii="Times New Roman" w:hAnsi="Times New Roman" w:eastAsia="仿宋" w:cs="Times New Roman"/>
          <w:color w:val="auto"/>
          <w:sz w:val="30"/>
          <w:szCs w:val="30"/>
          <w:highlight w:val="none"/>
        </w:rPr>
        <w:t>分年度提供1-2门课程的原始评价材料，包括课程目标达成评价报告（包括课程目标、课程目标与指标点的对应关系、评分标准、评价方法</w:t>
      </w:r>
      <w:r>
        <w:rPr>
          <w:rFonts w:hint="eastAsia" w:ascii="Times New Roman" w:hAnsi="Times New Roman" w:eastAsia="仿宋" w:cs="Times New Roman"/>
          <w:color w:val="auto"/>
          <w:sz w:val="30"/>
          <w:szCs w:val="30"/>
          <w:highlight w:val="none"/>
          <w:lang w:eastAsia="zh-CN"/>
        </w:rPr>
        <w:t>、</w:t>
      </w:r>
      <w:r>
        <w:rPr>
          <w:rFonts w:hint="eastAsia" w:ascii="Times New Roman" w:hAnsi="Times New Roman" w:eastAsia="仿宋" w:cs="Times New Roman"/>
          <w:color w:val="auto"/>
          <w:sz w:val="30"/>
          <w:szCs w:val="30"/>
          <w:highlight w:val="none"/>
        </w:rPr>
        <w:t>评价依据和评价结果等）及评价过程的原始记录</w:t>
      </w:r>
      <w:r>
        <w:rPr>
          <w:rFonts w:hint="default" w:ascii="Times New Roman" w:hAnsi="Times New Roman" w:eastAsia="仿宋" w:cs="Times New Roman"/>
          <w:color w:val="auto"/>
          <w:sz w:val="30"/>
          <w:szCs w:val="30"/>
          <w:highlight w:val="none"/>
        </w:rPr>
        <w:t>文档（包括学生作业题目、实验指导书、空白试卷、试卷审批单及答案和评分标准等各考核形式的原始材料，</w:t>
      </w:r>
      <w:r>
        <w:rPr>
          <w:rFonts w:hint="eastAsia" w:ascii="Times New Roman" w:hAnsi="Times New Roman" w:eastAsia="仿宋" w:cs="Times New Roman"/>
          <w:color w:val="auto"/>
          <w:sz w:val="30"/>
          <w:szCs w:val="30"/>
          <w:highlight w:val="none"/>
        </w:rPr>
        <w:t>以及评价依据合理性审核记录）</w:t>
      </w:r>
    </w:p>
    <w:p w14:paraId="7721476E">
      <w:pPr>
        <w:widowControl/>
        <w:shd w:val="clear"/>
        <w:spacing w:after="0" w:line="259" w:lineRule="auto"/>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lang w:val="en-US" w:eastAsia="zh-CN"/>
        </w:rPr>
        <w:t>（3）</w:t>
      </w:r>
      <w:r>
        <w:rPr>
          <w:rFonts w:hint="default" w:ascii="Times New Roman" w:hAnsi="Times New Roman" w:eastAsia="仿宋" w:cs="Times New Roman"/>
          <w:color w:val="auto"/>
          <w:sz w:val="30"/>
          <w:szCs w:val="30"/>
          <w:highlight w:val="none"/>
        </w:rPr>
        <w:t>最近一次毕业要求达成情况评价报告</w:t>
      </w:r>
    </w:p>
    <w:p w14:paraId="6E082953">
      <w:pPr>
        <w:widowControl/>
        <w:shd w:val="clear"/>
        <w:spacing w:after="0" w:line="259" w:lineRule="auto"/>
        <w:ind w:firstLine="600"/>
        <w:rPr>
          <w:rFonts w:hint="default" w:ascii="Times New Roman" w:hAnsi="Times New Roman" w:eastAsia="仿宋" w:cs="Times New Roman"/>
          <w:color w:val="auto"/>
          <w:sz w:val="30"/>
          <w:szCs w:val="30"/>
          <w:highlight w:val="none"/>
          <w:lang w:val="en-AU"/>
        </w:rPr>
      </w:pPr>
      <w:r>
        <w:rPr>
          <w:rFonts w:hint="default" w:ascii="Times New Roman" w:hAnsi="Times New Roman" w:eastAsia="仿宋" w:cs="Times New Roman"/>
          <w:color w:val="auto"/>
          <w:sz w:val="30"/>
          <w:szCs w:val="30"/>
          <w:highlight w:val="none"/>
          <w:lang w:val="en-US" w:eastAsia="zh-CN"/>
        </w:rPr>
        <w:t>（4）其他</w:t>
      </w:r>
      <w:r>
        <w:rPr>
          <w:rFonts w:hint="default" w:ascii="Times New Roman" w:hAnsi="Times New Roman" w:eastAsia="仿宋" w:cs="Times New Roman"/>
          <w:color w:val="auto"/>
          <w:sz w:val="30"/>
          <w:szCs w:val="30"/>
          <w:highlight w:val="none"/>
        </w:rPr>
        <w:t>改进</w:t>
      </w:r>
      <w:r>
        <w:rPr>
          <w:rFonts w:hint="default" w:ascii="Times New Roman" w:hAnsi="Times New Roman" w:eastAsia="仿宋" w:cs="Times New Roman"/>
          <w:color w:val="auto"/>
          <w:sz w:val="30"/>
          <w:szCs w:val="30"/>
          <w:highlight w:val="none"/>
          <w:lang w:val="en-US" w:eastAsia="zh-CN"/>
        </w:rPr>
        <w:t>措施是实施情况</w:t>
      </w:r>
      <w:r>
        <w:rPr>
          <w:rFonts w:hint="default" w:ascii="Times New Roman" w:hAnsi="Times New Roman" w:eastAsia="仿宋" w:cs="Times New Roman"/>
          <w:color w:val="auto"/>
          <w:sz w:val="30"/>
          <w:szCs w:val="30"/>
          <w:highlight w:val="none"/>
        </w:rPr>
        <w:t>的证据材料</w:t>
      </w:r>
    </w:p>
    <w:p w14:paraId="60BDCDF2">
      <w:pPr>
        <w:shd w:val="clear"/>
        <w:rPr>
          <w:rFonts w:hint="eastAsia"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br w:type="page"/>
      </w:r>
    </w:p>
    <w:p w14:paraId="1717E75D">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hint="eastAsia"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附件3</w:t>
      </w:r>
    </w:p>
    <w:p w14:paraId="3F02ABBA">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hint="default" w:ascii="Times New Roman" w:hAnsi="Times New Roman" w:eastAsia="黑体" w:cs="Times New Roman"/>
          <w:b w:val="0"/>
          <w:bCs/>
          <w:color w:val="auto"/>
          <w:sz w:val="32"/>
          <w:szCs w:val="32"/>
          <w:highlight w:val="none"/>
        </w:rPr>
      </w:pPr>
    </w:p>
    <w:p w14:paraId="7D5E872F">
      <w:pPr>
        <w:shd w:val="clear"/>
        <w:spacing w:after="0"/>
        <w:ind w:firstLine="0" w:firstLineChars="0"/>
        <w:jc w:val="center"/>
        <w:rPr>
          <w:rFonts w:ascii="Times New Roman" w:hAnsi="Times New Roman" w:eastAsia="方正小标宋简体" w:cs="Times New Roman"/>
          <w:b/>
          <w:bCs/>
          <w:color w:val="auto"/>
          <w:kern w:val="44"/>
          <w:sz w:val="36"/>
          <w:szCs w:val="36"/>
          <w:highlight w:val="none"/>
        </w:rPr>
      </w:pPr>
      <w:r>
        <w:rPr>
          <w:rFonts w:hint="eastAsia" w:ascii="Times New Roman" w:hAnsi="Times New Roman" w:eastAsia="方正小标宋简体" w:cs="Times New Roman"/>
          <w:b/>
          <w:bCs/>
          <w:color w:val="auto"/>
          <w:kern w:val="44"/>
          <w:sz w:val="36"/>
          <w:szCs w:val="36"/>
          <w:highlight w:val="none"/>
        </w:rPr>
        <w:t>工程教育认证</w:t>
      </w:r>
      <w:bookmarkStart w:id="8" w:name="_Hlk173480843"/>
      <w:r>
        <w:rPr>
          <w:rFonts w:hint="eastAsia" w:ascii="Times New Roman" w:hAnsi="Times New Roman" w:eastAsia="方正小标宋简体" w:cs="Times New Roman"/>
          <w:b/>
          <w:bCs/>
          <w:color w:val="auto"/>
          <w:kern w:val="44"/>
          <w:sz w:val="36"/>
          <w:szCs w:val="36"/>
          <w:highlight w:val="none"/>
        </w:rPr>
        <w:t>中期审核报告</w:t>
      </w:r>
      <w:bookmarkEnd w:id="8"/>
      <w:r>
        <w:rPr>
          <w:rFonts w:ascii="Times New Roman" w:hAnsi="Times New Roman" w:eastAsia="方正小标宋简体" w:cs="Times New Roman"/>
          <w:b/>
          <w:bCs/>
          <w:color w:val="auto"/>
          <w:kern w:val="44"/>
          <w:sz w:val="36"/>
          <w:szCs w:val="36"/>
          <w:highlight w:val="none"/>
        </w:rPr>
        <w:t>（202</w:t>
      </w:r>
      <w:r>
        <w:rPr>
          <w:rFonts w:hint="eastAsia" w:ascii="Times New Roman" w:hAnsi="Times New Roman" w:eastAsia="方正小标宋简体" w:cs="Times New Roman"/>
          <w:b/>
          <w:bCs/>
          <w:color w:val="auto"/>
          <w:kern w:val="44"/>
          <w:sz w:val="36"/>
          <w:szCs w:val="36"/>
          <w:highlight w:val="none"/>
          <w:lang w:val="en-US" w:eastAsia="zh-CN"/>
        </w:rPr>
        <w:t>5</w:t>
      </w:r>
      <w:r>
        <w:rPr>
          <w:rFonts w:ascii="Times New Roman" w:hAnsi="Times New Roman" w:eastAsia="方正小标宋简体" w:cs="Times New Roman"/>
          <w:b/>
          <w:bCs/>
          <w:color w:val="auto"/>
          <w:kern w:val="44"/>
          <w:sz w:val="36"/>
          <w:szCs w:val="36"/>
          <w:highlight w:val="none"/>
        </w:rPr>
        <w:t>版）</w:t>
      </w:r>
    </w:p>
    <w:p w14:paraId="19840ACF">
      <w:pPr>
        <w:shd w:val="clear"/>
        <w:adjustRightInd w:val="0"/>
        <w:snapToGrid w:val="0"/>
        <w:spacing w:after="156" w:afterLines="50" w:line="240" w:lineRule="auto"/>
        <w:ind w:firstLine="0" w:firstLineChars="0"/>
        <w:rPr>
          <w:rFonts w:ascii="Times New Roman" w:hAnsi="Times New Roman" w:eastAsia="仿宋" w:cs="Times New Roman"/>
          <w:b/>
          <w:color w:val="auto"/>
          <w:sz w:val="30"/>
          <w:szCs w:val="30"/>
          <w:highlight w:val="none"/>
        </w:rPr>
      </w:pPr>
    </w:p>
    <w:p w14:paraId="3E10EF33">
      <w:pPr>
        <w:shd w:val="clear"/>
        <w:adjustRightInd w:val="0"/>
        <w:snapToGrid w:val="0"/>
        <w:spacing w:after="156" w:afterLines="50" w:line="240" w:lineRule="auto"/>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学校名称：</w:t>
      </w:r>
    </w:p>
    <w:p w14:paraId="0B8A5E32">
      <w:pPr>
        <w:shd w:val="clear"/>
        <w:adjustRightInd w:val="0"/>
        <w:snapToGrid w:val="0"/>
        <w:spacing w:after="156" w:afterLines="50" w:line="240" w:lineRule="auto"/>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专业名称：</w:t>
      </w:r>
    </w:p>
    <w:p w14:paraId="00DD8F68">
      <w:pPr>
        <w:shd w:val="clear"/>
        <w:adjustRightInd w:val="0"/>
        <w:snapToGrid w:val="0"/>
        <w:spacing w:after="156" w:afterLines="50" w:line="240" w:lineRule="auto"/>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本轮认证结果：</w:t>
      </w:r>
    </w:p>
    <w:p w14:paraId="2D6A0A50">
      <w:pPr>
        <w:shd w:val="clear"/>
        <w:adjustRightInd w:val="0"/>
        <w:snapToGrid w:val="0"/>
        <w:spacing w:after="156" w:afterLines="50" w:line="240" w:lineRule="auto"/>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本轮认证有效期起止时间：</w:t>
      </w:r>
    </w:p>
    <w:p w14:paraId="70C76965">
      <w:pPr>
        <w:shd w:val="clear"/>
        <w:adjustRightInd w:val="0"/>
        <w:snapToGrid w:val="0"/>
        <w:spacing w:after="156" w:afterLines="50" w:line="240" w:lineRule="auto"/>
        <w:ind w:firstLine="0" w:firstLineChars="0"/>
        <w:rPr>
          <w:rFonts w:ascii="Times New Roman" w:hAnsi="Times New Roman" w:eastAsia="仿宋" w:cs="Times New Roman"/>
          <w:b/>
          <w:color w:val="auto"/>
          <w:sz w:val="30"/>
          <w:szCs w:val="30"/>
          <w:highlight w:val="none"/>
        </w:rPr>
      </w:pPr>
    </w:p>
    <w:p w14:paraId="2431B7B6">
      <w:pPr>
        <w:shd w:val="clear"/>
        <w:adjustRightInd w:val="0"/>
        <w:snapToGrid w:val="0"/>
        <w:spacing w:after="0"/>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一、专业基本情况</w:t>
      </w:r>
    </w:p>
    <w:p w14:paraId="0A6CB4F6">
      <w:pPr>
        <w:shd w:val="clear"/>
        <w:adjustRightInd w:val="0"/>
        <w:snapToGrid w:val="0"/>
        <w:spacing w:after="0"/>
        <w:ind w:firstLine="0" w:firstLineChars="0"/>
        <w:rPr>
          <w:rFonts w:ascii="Times New Roman" w:hAnsi="Times New Roman" w:eastAsia="仿宋" w:cs="Times New Roman"/>
          <w:b/>
          <w:color w:val="auto"/>
          <w:sz w:val="30"/>
          <w:szCs w:val="30"/>
          <w:highlight w:val="none"/>
        </w:rPr>
      </w:pPr>
    </w:p>
    <w:p w14:paraId="4B36AC74">
      <w:pPr>
        <w:shd w:val="clear"/>
        <w:adjustRightInd w:val="0"/>
        <w:snapToGrid w:val="0"/>
        <w:spacing w:after="0"/>
        <w:ind w:firstLine="0" w:firstLineChars="0"/>
        <w:rPr>
          <w:rFonts w:ascii="Times New Roman" w:hAnsi="Times New Roman" w:eastAsia="仿宋" w:cs="Times New Roman"/>
          <w:b/>
          <w:color w:val="auto"/>
          <w:sz w:val="30"/>
          <w:szCs w:val="30"/>
          <w:highlight w:val="none"/>
        </w:rPr>
      </w:pPr>
    </w:p>
    <w:p w14:paraId="7F59F73D">
      <w:pPr>
        <w:shd w:val="clear"/>
        <w:adjustRightInd w:val="0"/>
        <w:snapToGrid w:val="0"/>
        <w:spacing w:after="0"/>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二、现场核实情况（进校核实的填写，如未现场核实，注明即可）</w:t>
      </w:r>
    </w:p>
    <w:p w14:paraId="4532253B">
      <w:pPr>
        <w:shd w:val="clear"/>
        <w:adjustRightInd w:val="0"/>
        <w:snapToGrid w:val="0"/>
        <w:spacing w:after="0"/>
        <w:ind w:firstLine="602"/>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重点描述以下内容：</w:t>
      </w:r>
    </w:p>
    <w:p w14:paraId="45E89F43">
      <w:pPr>
        <w:shd w:val="clear"/>
        <w:snapToGrid w:val="0"/>
        <w:spacing w:after="0"/>
        <w:ind w:firstLine="60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1. 现场核实的原因</w:t>
      </w:r>
    </w:p>
    <w:p w14:paraId="39AF4E9E">
      <w:pPr>
        <w:shd w:val="clear"/>
        <w:snapToGrid w:val="0"/>
        <w:spacing w:after="0"/>
        <w:ind w:firstLine="60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2. 拟现场核实的主要问题</w:t>
      </w:r>
    </w:p>
    <w:p w14:paraId="575E2C1E">
      <w:pPr>
        <w:shd w:val="clear"/>
        <w:snapToGrid w:val="0"/>
        <w:spacing w:after="0"/>
        <w:ind w:firstLine="60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3. 有关情况核实结果</w:t>
      </w:r>
    </w:p>
    <w:p w14:paraId="75F3199E">
      <w:pPr>
        <w:shd w:val="clear"/>
        <w:snapToGrid w:val="0"/>
        <w:spacing w:after="0"/>
        <w:ind w:firstLine="420" w:firstLineChars="0"/>
        <w:rPr>
          <w:rFonts w:ascii="Times New Roman" w:hAnsi="Times New Roman" w:eastAsia="仿宋" w:cs="Times New Roman"/>
          <w:color w:val="auto"/>
          <w:sz w:val="30"/>
          <w:szCs w:val="30"/>
          <w:highlight w:val="none"/>
        </w:rPr>
      </w:pPr>
    </w:p>
    <w:p w14:paraId="42A8A217">
      <w:pPr>
        <w:shd w:val="clear"/>
        <w:adjustRightInd w:val="0"/>
        <w:snapToGrid w:val="0"/>
        <w:spacing w:after="0"/>
        <w:ind w:firstLine="0" w:firstLineChars="0"/>
        <w:rPr>
          <w:rFonts w:hint="default" w:ascii="Times New Roman" w:hAnsi="Times New Roman" w:eastAsia="黑体" w:cs="Times New Roman"/>
          <w:b/>
          <w:bCs w:val="0"/>
          <w:color w:val="C00000"/>
          <w:sz w:val="30"/>
          <w:szCs w:val="30"/>
          <w:highlight w:val="none"/>
        </w:rPr>
      </w:pPr>
      <w:r>
        <w:rPr>
          <w:rFonts w:hint="eastAsia" w:ascii="Times New Roman" w:hAnsi="Times New Roman" w:eastAsia="仿宋" w:cs="Times New Roman"/>
          <w:b/>
          <w:color w:val="auto"/>
          <w:sz w:val="30"/>
          <w:szCs w:val="30"/>
          <w:highlight w:val="none"/>
        </w:rPr>
        <w:t>三、</w:t>
      </w:r>
      <w:bookmarkStart w:id="9" w:name="_Hlk173480883"/>
      <w:r>
        <w:rPr>
          <w:rFonts w:hint="eastAsia" w:ascii="Times New Roman" w:hAnsi="Times New Roman" w:eastAsia="仿宋" w:cs="Times New Roman"/>
          <w:b/>
          <w:color w:val="auto"/>
          <w:sz w:val="30"/>
          <w:szCs w:val="30"/>
          <w:highlight w:val="none"/>
        </w:rPr>
        <w:t>认证报告提出的问题及关注项的改进情况</w:t>
      </w:r>
      <w:bookmarkEnd w:id="9"/>
      <w:r>
        <w:rPr>
          <w:rFonts w:hint="default" w:ascii="Times New Roman" w:hAnsi="Times New Roman" w:eastAsia="仿宋" w:cs="Times New Roman"/>
          <w:b/>
          <w:color w:val="auto"/>
          <w:sz w:val="30"/>
          <w:szCs w:val="30"/>
          <w:highlight w:val="none"/>
        </w:rPr>
        <w:t>（无</w:t>
      </w:r>
      <w:bookmarkStart w:id="10" w:name="_Hlk173421915"/>
      <w:r>
        <w:rPr>
          <w:rFonts w:hint="default" w:ascii="Times New Roman" w:hAnsi="Times New Roman" w:eastAsia="仿宋" w:cs="Times New Roman"/>
          <w:b/>
          <w:color w:val="auto"/>
          <w:sz w:val="30"/>
          <w:szCs w:val="30"/>
          <w:highlight w:val="none"/>
        </w:rPr>
        <w:t>问题及关注项</w:t>
      </w:r>
      <w:bookmarkEnd w:id="10"/>
      <w:r>
        <w:rPr>
          <w:rFonts w:hint="default" w:ascii="Times New Roman" w:hAnsi="Times New Roman" w:eastAsia="仿宋" w:cs="Times New Roman"/>
          <w:b/>
          <w:color w:val="auto"/>
          <w:sz w:val="30"/>
          <w:szCs w:val="30"/>
          <w:highlight w:val="none"/>
        </w:rPr>
        <w:t xml:space="preserve">填写“无”，有问题及关注项根据改进情况以“已改进”“已基本改进”“未改进”三种情况描述说明）  </w:t>
      </w:r>
    </w:p>
    <w:p w14:paraId="1C99C76D">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1.</w:t>
      </w:r>
      <w:r>
        <w:rPr>
          <w:rFonts w:hint="default"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rPr>
        <w:t>学生</w:t>
      </w:r>
    </w:p>
    <w:p w14:paraId="05447C0C">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 xml:space="preserve">  </w:t>
      </w:r>
      <w:r>
        <w:rPr>
          <w:rFonts w:hint="eastAsia"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rPr>
        <w:t>无</w:t>
      </w:r>
    </w:p>
    <w:p w14:paraId="5193B452">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2.</w:t>
      </w:r>
      <w:r>
        <w:rPr>
          <w:rFonts w:hint="default"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rPr>
        <w:t>培养目标</w:t>
      </w:r>
    </w:p>
    <w:p w14:paraId="38FA4F51">
      <w:pPr>
        <w:shd w:val="clear"/>
        <w:snapToGrid w:val="0"/>
        <w:spacing w:after="0"/>
        <w:ind w:firstLine="600"/>
        <w:rPr>
          <w:rFonts w:hint="default" w:ascii="Times New Roman" w:hAnsi="Times New Roman" w:eastAsia="仿宋" w:cs="Times New Roman"/>
          <w:color w:val="auto"/>
          <w:sz w:val="30"/>
          <w:szCs w:val="30"/>
          <w:highlight w:val="none"/>
        </w:rPr>
      </w:pPr>
      <w:bookmarkStart w:id="11" w:name="_Hlk173422371"/>
      <w:r>
        <w:rPr>
          <w:rFonts w:hint="default" w:ascii="Times New Roman" w:hAnsi="Times New Roman" w:eastAsia="仿宋" w:cs="Times New Roman"/>
          <w:color w:val="auto"/>
          <w:sz w:val="30"/>
          <w:szCs w:val="30"/>
          <w:highlight w:val="none"/>
        </w:rPr>
        <w:t>【问题一】：标准项2.1……</w:t>
      </w:r>
    </w:p>
    <w:p w14:paraId="743EAD0C">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改进情况评价：已改进</w:t>
      </w:r>
    </w:p>
    <w:p w14:paraId="0D4FFC6B">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改进情况描述：……</w:t>
      </w:r>
      <w:bookmarkEnd w:id="11"/>
    </w:p>
    <w:p w14:paraId="2B6FA36A">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【问题二】：标准项2.2……</w:t>
      </w:r>
    </w:p>
    <w:p w14:paraId="2C24F517">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改进情况评价：已基本改进</w:t>
      </w:r>
    </w:p>
    <w:p w14:paraId="205366E1">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改进情况描述：</w:t>
      </w:r>
      <w:bookmarkStart w:id="12" w:name="_Hlk173422418"/>
      <w:r>
        <w:rPr>
          <w:rFonts w:hint="default" w:ascii="Times New Roman" w:hAnsi="Times New Roman" w:eastAsia="仿宋" w:cs="Times New Roman"/>
          <w:color w:val="auto"/>
          <w:sz w:val="30"/>
          <w:szCs w:val="30"/>
          <w:highlight w:val="none"/>
        </w:rPr>
        <w:t>……</w:t>
      </w:r>
      <w:bookmarkEnd w:id="12"/>
    </w:p>
    <w:p w14:paraId="55C38A3D">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仍然存在的问题：……</w:t>
      </w:r>
    </w:p>
    <w:p w14:paraId="2DD97682">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lang w:val="en-US" w:eastAsia="zh-CN"/>
        </w:rPr>
        <w:t>3.</w:t>
      </w:r>
      <w:r>
        <w:rPr>
          <w:rFonts w:hint="eastAsia"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rPr>
        <w:t>毕业要求</w:t>
      </w:r>
    </w:p>
    <w:p w14:paraId="11E091A6">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【问题三】：标准项3.1……</w:t>
      </w:r>
    </w:p>
    <w:p w14:paraId="22D1840D">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改进情况评价：未改进</w:t>
      </w:r>
    </w:p>
    <w:p w14:paraId="2C02D91F">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存在问题情况描述：……</w:t>
      </w:r>
    </w:p>
    <w:p w14:paraId="0B1427C0">
      <w:pPr>
        <w:shd w:val="clear"/>
        <w:snapToGrid w:val="0"/>
        <w:spacing w:after="0"/>
        <w:ind w:firstLine="600"/>
        <w:rPr>
          <w:rFonts w:hint="default" w:ascii="Times New Roman" w:hAnsi="Times New Roman" w:eastAsia="仿宋" w:cs="Times New Roman"/>
          <w:color w:val="auto"/>
          <w:sz w:val="30"/>
          <w:szCs w:val="30"/>
          <w:highlight w:val="none"/>
        </w:rPr>
      </w:pPr>
    </w:p>
    <w:p w14:paraId="2F6EA207">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w:t>
      </w:r>
    </w:p>
    <w:p w14:paraId="4537C347">
      <w:pPr>
        <w:shd w:val="clear"/>
        <w:adjustRightInd w:val="0"/>
        <w:snapToGrid w:val="0"/>
        <w:spacing w:after="0"/>
        <w:ind w:firstLine="600" w:firstLineChars="0"/>
        <w:rPr>
          <w:rFonts w:ascii="Times New Roman" w:hAnsi="Times New Roman" w:eastAsia="仿宋" w:cs="Times New Roman"/>
          <w:bCs/>
          <w:color w:val="auto"/>
          <w:sz w:val="30"/>
          <w:szCs w:val="30"/>
          <w:highlight w:val="none"/>
        </w:rPr>
      </w:pPr>
    </w:p>
    <w:p w14:paraId="41175DE8">
      <w:pPr>
        <w:shd w:val="clear"/>
        <w:adjustRightInd w:val="0"/>
        <w:snapToGrid w:val="0"/>
        <w:spacing w:after="0"/>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四、</w:t>
      </w:r>
      <w:bookmarkStart w:id="13" w:name="_Hlk173481842"/>
      <w:r>
        <w:rPr>
          <w:rFonts w:hint="eastAsia" w:ascii="Times New Roman" w:hAnsi="Times New Roman" w:eastAsia="仿宋" w:cs="Times New Roman"/>
          <w:b/>
          <w:color w:val="auto"/>
          <w:sz w:val="30"/>
          <w:szCs w:val="30"/>
          <w:highlight w:val="none"/>
        </w:rPr>
        <w:t>内部评价机制的完善和运行情况</w:t>
      </w:r>
    </w:p>
    <w:bookmarkEnd w:id="13"/>
    <w:p w14:paraId="6CF95175">
      <w:pPr>
        <w:widowControl/>
        <w:shd w:val="clear"/>
        <w:spacing w:after="0" w:line="259" w:lineRule="auto"/>
        <w:ind w:firstLine="600"/>
        <w:rPr>
          <w:rFonts w:hint="default" w:ascii="Times New Roman" w:hAnsi="Times New Roman" w:eastAsia="仿宋" w:cs="Times New Roman"/>
          <w:color w:val="auto"/>
          <w:sz w:val="30"/>
          <w:szCs w:val="30"/>
          <w:highlight w:val="none"/>
          <w:lang w:val="en-AU"/>
        </w:rPr>
      </w:pPr>
      <w:r>
        <w:rPr>
          <w:rFonts w:hint="default" w:ascii="Times New Roman" w:hAnsi="Times New Roman" w:eastAsia="仿宋" w:cs="Times New Roman"/>
          <w:color w:val="auto"/>
          <w:sz w:val="30"/>
          <w:szCs w:val="30"/>
          <w:highlight w:val="none"/>
          <w:lang w:val="en-AU"/>
        </w:rPr>
        <w:t>1.</w:t>
      </w:r>
      <w:r>
        <w:rPr>
          <w:rFonts w:hint="default"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lang w:val="en-AU"/>
        </w:rPr>
        <w:t>专业建立、完善面向产出内部评价机制的情况（主要包括课程目标、毕业要求达成评价，以及其他质量监控机制的完善）</w:t>
      </w:r>
    </w:p>
    <w:p w14:paraId="04C5177A">
      <w:pPr>
        <w:widowControl/>
        <w:shd w:val="clear"/>
        <w:spacing w:after="0" w:line="259" w:lineRule="auto"/>
        <w:ind w:firstLine="600"/>
        <w:rPr>
          <w:rFonts w:hint="default" w:ascii="Times New Roman" w:hAnsi="Times New Roman" w:eastAsia="仿宋" w:cs="Times New Roman"/>
          <w:color w:val="auto"/>
          <w:sz w:val="30"/>
          <w:szCs w:val="30"/>
          <w:highlight w:val="none"/>
          <w:lang w:val="en-AU"/>
        </w:rPr>
      </w:pPr>
      <w:r>
        <w:rPr>
          <w:rFonts w:hint="default" w:ascii="Times New Roman" w:hAnsi="Times New Roman" w:eastAsia="仿宋" w:cs="Times New Roman"/>
          <w:color w:val="auto"/>
          <w:sz w:val="30"/>
          <w:szCs w:val="30"/>
          <w:highlight w:val="none"/>
          <w:lang w:val="en-AU"/>
        </w:rPr>
        <w:t>2.</w:t>
      </w:r>
      <w:r>
        <w:rPr>
          <w:rFonts w:hint="default"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lang w:val="en-AU"/>
        </w:rPr>
        <w:t>面向产出的内部评价机制运行情况（基于专业提交的证据说明课程目标、毕业要求达成评价，以及其他质量监控机制的运行情况）</w:t>
      </w:r>
    </w:p>
    <w:p w14:paraId="7162D09B">
      <w:pPr>
        <w:shd w:val="clear"/>
        <w:adjustRightInd w:val="0"/>
        <w:snapToGrid w:val="0"/>
        <w:spacing w:after="0"/>
        <w:ind w:firstLine="0" w:firstLineChars="0"/>
        <w:rPr>
          <w:rFonts w:ascii="Times New Roman" w:hAnsi="Times New Roman" w:eastAsia="仿宋" w:cs="Times New Roman"/>
          <w:b/>
          <w:color w:val="auto"/>
          <w:sz w:val="30"/>
          <w:szCs w:val="30"/>
          <w:highlight w:val="none"/>
          <w:lang w:val="en-AU"/>
        </w:rPr>
      </w:pPr>
    </w:p>
    <w:p w14:paraId="53DAD580">
      <w:pPr>
        <w:shd w:val="clear"/>
        <w:spacing w:after="0"/>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五、中期审核结论建议</w:t>
      </w:r>
    </w:p>
    <w:p w14:paraId="72EC9585">
      <w:pPr>
        <w:shd w:val="clear"/>
        <w:spacing w:after="0"/>
        <w:ind w:firstLine="600"/>
        <w:rPr>
          <w:rFonts w:ascii="Times New Roman" w:hAnsi="Times New Roman" w:eastAsia="仿宋" w:cs="Times New Roman"/>
          <w:b/>
          <w:color w:val="auto"/>
          <w:sz w:val="30"/>
          <w:szCs w:val="30"/>
          <w:highlight w:val="none"/>
        </w:rPr>
      </w:pPr>
      <w:r>
        <w:rPr>
          <w:rFonts w:hint="eastAsia" w:ascii="Times New Roman" w:hAnsi="Times New Roman" w:eastAsia="仿宋" w:cs="Times New Roman"/>
          <w:color w:val="auto"/>
          <w:sz w:val="30"/>
          <w:szCs w:val="30"/>
          <w:highlight w:val="none"/>
        </w:rPr>
        <w:t>结论建议投票结果（有效票</w:t>
      </w:r>
      <w:r>
        <w:rPr>
          <w:rFonts w:hint="eastAsia" w:ascii="Times New Roman" w:hAnsi="Times New Roman" w:eastAsia="仿宋" w:cs="Times New Roman"/>
          <w:bCs/>
          <w:color w:val="auto"/>
          <w:sz w:val="30"/>
          <w:szCs w:val="30"/>
          <w:highlight w:val="none"/>
          <w:u w:val="single"/>
        </w:rPr>
        <w:t xml:space="preserve">    </w:t>
      </w:r>
      <w:r>
        <w:rPr>
          <w:rFonts w:hint="eastAsia" w:ascii="Times New Roman" w:hAnsi="Times New Roman" w:eastAsia="仿宋" w:cs="Times New Roman"/>
          <w:bCs/>
          <w:color w:val="auto"/>
          <w:sz w:val="30"/>
          <w:szCs w:val="30"/>
          <w:highlight w:val="none"/>
        </w:rPr>
        <w:t>个）</w:t>
      </w:r>
      <w:r>
        <w:rPr>
          <w:rFonts w:hint="eastAsia" w:ascii="Times New Roman" w:hAnsi="Times New Roman" w:eastAsia="仿宋" w:cs="Times New Roman"/>
          <w:color w:val="auto"/>
          <w:sz w:val="30"/>
          <w:szCs w:val="30"/>
          <w:highlight w:val="none"/>
        </w:rPr>
        <w:t>：</w:t>
      </w:r>
    </w:p>
    <w:p w14:paraId="0C4977A4">
      <w:pPr>
        <w:shd w:val="clear"/>
        <w:spacing w:after="0"/>
        <w:ind w:firstLine="600"/>
        <w:rPr>
          <w:rFonts w:ascii="Times New Roman" w:hAnsi="Times New Roman" w:eastAsia="仿宋" w:cs="Times New Roman"/>
          <w:b/>
          <w:color w:val="auto"/>
          <w:sz w:val="30"/>
          <w:szCs w:val="30"/>
          <w:highlight w:val="none"/>
        </w:rPr>
      </w:pPr>
      <w:r>
        <w:rPr>
          <w:rFonts w:hint="eastAsia" w:ascii="Times New Roman" w:hAnsi="Times New Roman" w:eastAsia="仿宋" w:cs="Times New Roman"/>
          <w:bCs/>
          <w:color w:val="auto"/>
          <w:sz w:val="30"/>
          <w:szCs w:val="30"/>
          <w:highlight w:val="none"/>
        </w:rPr>
        <w:t>继续保持有效期</w:t>
      </w:r>
      <w:r>
        <w:rPr>
          <w:rFonts w:hint="eastAsia" w:ascii="Times New Roman" w:hAnsi="Times New Roman" w:eastAsia="仿宋" w:cs="Times New Roman"/>
          <w:bCs/>
          <w:color w:val="auto"/>
          <w:sz w:val="30"/>
          <w:szCs w:val="30"/>
          <w:highlight w:val="none"/>
          <w:u w:val="single"/>
        </w:rPr>
        <w:t xml:space="preserve">    </w:t>
      </w:r>
      <w:r>
        <w:rPr>
          <w:rFonts w:hint="eastAsia" w:ascii="Times New Roman" w:hAnsi="Times New Roman" w:eastAsia="仿宋" w:cs="Times New Roman"/>
          <w:bCs/>
          <w:color w:val="auto"/>
          <w:sz w:val="30"/>
          <w:szCs w:val="30"/>
          <w:highlight w:val="none"/>
        </w:rPr>
        <w:t>个；</w:t>
      </w:r>
    </w:p>
    <w:p w14:paraId="01AAF410">
      <w:pPr>
        <w:shd w:val="clear"/>
        <w:spacing w:after="0"/>
        <w:ind w:firstLine="600"/>
        <w:rPr>
          <w:rFonts w:ascii="Times New Roman" w:hAnsi="Times New Roman" w:eastAsia="仿宋" w:cs="Times New Roman"/>
          <w:b/>
          <w:color w:val="auto"/>
          <w:sz w:val="30"/>
          <w:szCs w:val="30"/>
          <w:highlight w:val="none"/>
        </w:rPr>
      </w:pPr>
      <w:r>
        <w:rPr>
          <w:rFonts w:hint="eastAsia" w:ascii="Times New Roman" w:hAnsi="Times New Roman" w:eastAsia="仿宋" w:cs="Times New Roman"/>
          <w:bCs/>
          <w:color w:val="auto"/>
          <w:sz w:val="30"/>
          <w:szCs w:val="30"/>
          <w:highlight w:val="none"/>
          <w:lang w:eastAsia="zh-CN"/>
        </w:rPr>
        <w:t>中止</w:t>
      </w:r>
      <w:r>
        <w:rPr>
          <w:rFonts w:hint="eastAsia" w:ascii="Times New Roman" w:hAnsi="Times New Roman" w:eastAsia="仿宋" w:cs="Times New Roman"/>
          <w:bCs/>
          <w:color w:val="auto"/>
          <w:sz w:val="30"/>
          <w:szCs w:val="30"/>
          <w:highlight w:val="none"/>
        </w:rPr>
        <w:t>认证有效期</w:t>
      </w:r>
      <w:r>
        <w:rPr>
          <w:rFonts w:hint="eastAsia" w:ascii="Times New Roman" w:hAnsi="Times New Roman" w:eastAsia="仿宋" w:cs="Times New Roman"/>
          <w:bCs/>
          <w:color w:val="auto"/>
          <w:sz w:val="30"/>
          <w:szCs w:val="30"/>
          <w:highlight w:val="none"/>
          <w:u w:val="single"/>
        </w:rPr>
        <w:t xml:space="preserve">    </w:t>
      </w:r>
      <w:r>
        <w:rPr>
          <w:rFonts w:hint="eastAsia" w:ascii="Times New Roman" w:hAnsi="Times New Roman" w:eastAsia="仿宋" w:cs="Times New Roman"/>
          <w:bCs/>
          <w:color w:val="auto"/>
          <w:sz w:val="30"/>
          <w:szCs w:val="30"/>
          <w:highlight w:val="none"/>
        </w:rPr>
        <w:t>个。</w:t>
      </w:r>
    </w:p>
    <w:p w14:paraId="74D8AA28">
      <w:pPr>
        <w:shd w:val="clear"/>
        <w:spacing w:after="0"/>
        <w:ind w:firstLine="600"/>
        <w:rPr>
          <w:rFonts w:ascii="Times New Roman" w:hAnsi="Times New Roman" w:eastAsia="仿宋" w:cs="Times New Roman"/>
          <w:b/>
          <w:color w:val="auto"/>
          <w:sz w:val="30"/>
          <w:szCs w:val="30"/>
          <w:highlight w:val="none"/>
        </w:rPr>
      </w:pPr>
      <w:r>
        <w:rPr>
          <w:rFonts w:hint="eastAsia" w:ascii="Times New Roman" w:hAnsi="Times New Roman" w:eastAsia="仿宋" w:cs="Times New Roman"/>
          <w:color w:val="auto"/>
          <w:sz w:val="30"/>
          <w:szCs w:val="30"/>
          <w:highlight w:val="none"/>
        </w:rPr>
        <w:t>结论建议：继续保持有效期/</w:t>
      </w:r>
      <w:r>
        <w:rPr>
          <w:rFonts w:hint="eastAsia" w:ascii="Times New Roman" w:hAnsi="Times New Roman" w:eastAsia="仿宋" w:cs="Times New Roman"/>
          <w:color w:val="auto"/>
          <w:sz w:val="30"/>
          <w:szCs w:val="30"/>
          <w:highlight w:val="none"/>
          <w:lang w:eastAsia="zh-CN"/>
        </w:rPr>
        <w:t>中止</w:t>
      </w:r>
      <w:r>
        <w:rPr>
          <w:rFonts w:hint="eastAsia" w:ascii="Times New Roman" w:hAnsi="Times New Roman" w:eastAsia="仿宋" w:cs="Times New Roman"/>
          <w:color w:val="auto"/>
          <w:sz w:val="30"/>
          <w:szCs w:val="30"/>
          <w:highlight w:val="none"/>
        </w:rPr>
        <w:t>认证有效期</w:t>
      </w:r>
    </w:p>
    <w:p w14:paraId="2E0B1BC2">
      <w:pPr>
        <w:shd w:val="clear"/>
        <w:adjustRightInd w:val="0"/>
        <w:snapToGrid w:val="0"/>
        <w:spacing w:after="0"/>
        <w:ind w:firstLine="0" w:firstLineChars="0"/>
        <w:rPr>
          <w:rFonts w:ascii="Times New Roman" w:hAnsi="Times New Roman" w:eastAsia="仿宋" w:cs="Times New Roman"/>
          <w:b/>
          <w:color w:val="auto"/>
          <w:sz w:val="30"/>
          <w:szCs w:val="30"/>
          <w:highlight w:val="none"/>
        </w:rPr>
      </w:pPr>
    </w:p>
    <w:p w14:paraId="56FBF25D">
      <w:pPr>
        <w:shd w:val="clear"/>
        <w:adjustRightInd w:val="0"/>
        <w:snapToGrid w:val="0"/>
        <w:spacing w:after="0"/>
        <w:ind w:firstLine="0" w:firstLineChars="0"/>
        <w:rPr>
          <w:rFonts w:ascii="Times New Roman" w:hAnsi="Times New Roman" w:eastAsia="仿宋" w:cs="Times New Roman"/>
          <w:b/>
          <w:color w:val="auto"/>
          <w:sz w:val="30"/>
          <w:szCs w:val="30"/>
          <w:highlight w:val="none"/>
        </w:rPr>
      </w:pPr>
    </w:p>
    <w:p w14:paraId="4A515F97">
      <w:pPr>
        <w:shd w:val="clear"/>
        <w:adjustRightInd w:val="0"/>
        <w:snapToGrid w:val="0"/>
        <w:spacing w:after="0"/>
        <w:ind w:firstLineChars="0"/>
        <w:rPr>
          <w:rFonts w:ascii="Times New Roman" w:hAnsi="Times New Roman" w:eastAsia="仿宋" w:cs="Times New Roman"/>
          <w:color w:val="auto"/>
          <w:sz w:val="30"/>
          <w:szCs w:val="30"/>
          <w:highlight w:val="none"/>
        </w:rPr>
      </w:pPr>
      <w:r>
        <w:rPr>
          <w:rFonts w:hint="eastAsia" w:ascii="Times New Roman" w:hAnsi="Times New Roman" w:eastAsia="仿宋" w:cs="Times New Roman"/>
          <w:b/>
          <w:color w:val="auto"/>
          <w:sz w:val="30"/>
          <w:szCs w:val="30"/>
          <w:highlight w:val="none"/>
        </w:rPr>
        <w:t xml:space="preserve">   </w:t>
      </w:r>
      <w:r>
        <w:rPr>
          <w:rFonts w:hint="eastAsia" w:ascii="Times New Roman" w:hAnsi="Times New Roman" w:eastAsia="仿宋" w:cs="Times New Roman"/>
          <w:b/>
          <w:color w:val="auto"/>
          <w:sz w:val="30"/>
          <w:szCs w:val="30"/>
          <w:highlight w:val="none"/>
        </w:rPr>
        <w:tab/>
      </w:r>
      <w:r>
        <w:rPr>
          <w:rFonts w:hint="eastAsia" w:ascii="Times New Roman" w:hAnsi="Times New Roman" w:eastAsia="仿宋" w:cs="Times New Roman"/>
          <w:b/>
          <w:color w:val="auto"/>
          <w:sz w:val="30"/>
          <w:szCs w:val="30"/>
          <w:highlight w:val="none"/>
        </w:rPr>
        <w:tab/>
      </w:r>
      <w:r>
        <w:rPr>
          <w:rFonts w:hint="eastAsia" w:ascii="Times New Roman" w:hAnsi="Times New Roman" w:eastAsia="仿宋" w:cs="Times New Roman"/>
          <w:b/>
          <w:color w:val="auto"/>
          <w:sz w:val="30"/>
          <w:szCs w:val="30"/>
          <w:highlight w:val="none"/>
        </w:rPr>
        <w:tab/>
      </w:r>
      <w:r>
        <w:rPr>
          <w:rFonts w:hint="eastAsia" w:ascii="Times New Roman" w:hAnsi="Times New Roman" w:eastAsia="仿宋" w:cs="Times New Roman"/>
          <w:b/>
          <w:color w:val="auto"/>
          <w:sz w:val="30"/>
          <w:szCs w:val="30"/>
          <w:highlight w:val="none"/>
        </w:rPr>
        <w:tab/>
      </w:r>
      <w:r>
        <w:rPr>
          <w:rFonts w:hint="eastAsia" w:ascii="Times New Roman" w:hAnsi="Times New Roman" w:eastAsia="仿宋" w:cs="Times New Roman"/>
          <w:b/>
          <w:color w:val="auto"/>
          <w:sz w:val="30"/>
          <w:szCs w:val="30"/>
          <w:highlight w:val="none"/>
        </w:rPr>
        <w:tab/>
      </w:r>
      <w:r>
        <w:rPr>
          <w:rFonts w:hint="eastAsia" w:ascii="Times New Roman" w:hAnsi="Times New Roman" w:eastAsia="仿宋" w:cs="Times New Roman"/>
          <w:b/>
          <w:color w:val="auto"/>
          <w:sz w:val="30"/>
          <w:szCs w:val="30"/>
          <w:highlight w:val="none"/>
        </w:rPr>
        <w:t xml:space="preserve">           </w:t>
      </w:r>
      <w:r>
        <w:rPr>
          <w:rFonts w:hint="eastAsia" w:ascii="Times New Roman" w:hAnsi="Times New Roman" w:eastAsia="仿宋" w:cs="Times New Roman"/>
          <w:color w:val="auto"/>
          <w:sz w:val="30"/>
          <w:szCs w:val="30"/>
          <w:highlight w:val="none"/>
        </w:rPr>
        <w:t>__________类专业认证委员会</w:t>
      </w:r>
    </w:p>
    <w:p w14:paraId="030D87C7">
      <w:pPr>
        <w:shd w:val="clear"/>
        <w:tabs>
          <w:tab w:val="left" w:pos="4080"/>
        </w:tabs>
        <w:adjustRightInd w:val="0"/>
        <w:snapToGrid w:val="0"/>
        <w:spacing w:after="0"/>
        <w:ind w:firstLine="60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 xml:space="preserve">主任委员（签字）： </w:t>
      </w:r>
    </w:p>
    <w:p w14:paraId="1FB06730">
      <w:pPr>
        <w:shd w:val="clear"/>
        <w:adjustRightInd w:val="0"/>
        <w:snapToGrid w:val="0"/>
        <w:spacing w:after="0"/>
        <w:ind w:firstLine="3300" w:firstLineChars="1100"/>
        <w:rPr>
          <w:rFonts w:ascii="Times New Roman" w:hAnsi="Times New Roman" w:eastAsia="仿宋" w:cs="Times New Roman"/>
          <w:b/>
          <w:color w:val="auto"/>
          <w:sz w:val="30"/>
          <w:szCs w:val="30"/>
          <w:highlight w:val="none"/>
        </w:rPr>
      </w:pPr>
      <w:r>
        <w:rPr>
          <w:rFonts w:hint="eastAsia" w:ascii="Times New Roman" w:hAnsi="Times New Roman" w:eastAsia="仿宋" w:cs="Times New Roman"/>
          <w:color w:val="auto"/>
          <w:sz w:val="30"/>
          <w:szCs w:val="30"/>
          <w:highlight w:val="none"/>
        </w:rPr>
        <w:t xml:space="preserve">               年     月    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29BBC9-68EA-4079-9C49-74DEF7EA89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B2B8774-7CAE-47B2-A25C-2125267C20C5}"/>
  </w:font>
  <w:font w:name="仿宋">
    <w:panose1 w:val="02010609060101010101"/>
    <w:charset w:val="86"/>
    <w:family w:val="modern"/>
    <w:pitch w:val="default"/>
    <w:sig w:usb0="800002BF" w:usb1="38CF7CFA" w:usb2="00000016" w:usb3="00000000" w:csb0="00040001" w:csb1="00000000"/>
    <w:embedRegular r:id="rId3" w:fontKey="{A74DCBC4-7E78-4718-981B-53FFB6FB49A3}"/>
  </w:font>
  <w:font w:name="方正小标宋简体">
    <w:panose1 w:val="03000509000000000000"/>
    <w:charset w:val="86"/>
    <w:family w:val="auto"/>
    <w:pitch w:val="default"/>
    <w:sig w:usb0="00000001" w:usb1="080E0000" w:usb2="00000000" w:usb3="00000000" w:csb0="00040000" w:csb1="00000000"/>
    <w:embedRegular r:id="rId4" w:fontKey="{9914CFED-D6E2-4772-8333-873A0088C874}"/>
  </w:font>
  <w:font w:name="仿宋_GB2312">
    <w:panose1 w:val="02010609030101010101"/>
    <w:charset w:val="86"/>
    <w:family w:val="modern"/>
    <w:pitch w:val="default"/>
    <w:sig w:usb0="00000001" w:usb1="080E0000" w:usb2="00000000" w:usb3="00000000" w:csb0="00040000" w:csb1="00000000"/>
    <w:embedRegular r:id="rId5" w:fontKey="{5C3D57BF-581C-4C75-9884-68E3693B86D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rPr>
      <w:id w:val="871968534"/>
    </w:sdtPr>
    <w:sdtEndPr>
      <w:rPr>
        <w:rFonts w:hint="default" w:ascii="Times New Roman" w:hAnsi="Times New Roman" w:cs="Times New Roman"/>
      </w:rPr>
    </w:sdtEndPr>
    <w:sdtContent>
      <w:p w14:paraId="00354446">
        <w:pPr>
          <w:pStyle w:val="7"/>
          <w:ind w:firstLine="360"/>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15</w:t>
        </w:r>
        <w:r>
          <w:rPr>
            <w:rFonts w:hint="default" w:ascii="Times New Roman" w:hAnsi="Times New Roman" w:cs="Times New Roman"/>
          </w:rPr>
          <w:fldChar w:fldCharType="end"/>
        </w:r>
      </w:p>
    </w:sdtContent>
  </w:sdt>
  <w:p w14:paraId="011AA536">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CD6AD">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7C160">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1DDB9">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A28AC">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41692">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03A41"/>
    <w:multiLevelType w:val="multilevel"/>
    <w:tmpl w:val="64D03A4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1NzhlNmM5M2JkZjRhZTIxYjAyZTc2NzQzNDg3MWUifQ=="/>
    <w:docVar w:name="KSO_WPS_MARK_KEY" w:val="592754f6-b3ee-492b-b501-5dda6c7d07c7"/>
  </w:docVars>
  <w:rsids>
    <w:rsidRoot w:val="00B12489"/>
    <w:rsid w:val="00000E15"/>
    <w:rsid w:val="00001039"/>
    <w:rsid w:val="00005DEC"/>
    <w:rsid w:val="00014A78"/>
    <w:rsid w:val="0001584F"/>
    <w:rsid w:val="00016DF2"/>
    <w:rsid w:val="000233CC"/>
    <w:rsid w:val="00023552"/>
    <w:rsid w:val="00023601"/>
    <w:rsid w:val="00023E02"/>
    <w:rsid w:val="0002416E"/>
    <w:rsid w:val="00024BC7"/>
    <w:rsid w:val="00024FC1"/>
    <w:rsid w:val="000254BB"/>
    <w:rsid w:val="00026570"/>
    <w:rsid w:val="00026C76"/>
    <w:rsid w:val="00041EF3"/>
    <w:rsid w:val="00041F99"/>
    <w:rsid w:val="00042FFF"/>
    <w:rsid w:val="00043799"/>
    <w:rsid w:val="00044ED1"/>
    <w:rsid w:val="00045A90"/>
    <w:rsid w:val="00047A75"/>
    <w:rsid w:val="00052514"/>
    <w:rsid w:val="00055CB6"/>
    <w:rsid w:val="000600A0"/>
    <w:rsid w:val="000611AE"/>
    <w:rsid w:val="000620F3"/>
    <w:rsid w:val="00062A9E"/>
    <w:rsid w:val="00064F98"/>
    <w:rsid w:val="00067D81"/>
    <w:rsid w:val="0007343B"/>
    <w:rsid w:val="0007534E"/>
    <w:rsid w:val="000801CA"/>
    <w:rsid w:val="00083205"/>
    <w:rsid w:val="0008410C"/>
    <w:rsid w:val="0008438C"/>
    <w:rsid w:val="00084F1A"/>
    <w:rsid w:val="00085C68"/>
    <w:rsid w:val="00093DA9"/>
    <w:rsid w:val="000947A1"/>
    <w:rsid w:val="000A0906"/>
    <w:rsid w:val="000A1AFF"/>
    <w:rsid w:val="000A2100"/>
    <w:rsid w:val="000A3C04"/>
    <w:rsid w:val="000B0970"/>
    <w:rsid w:val="000B2196"/>
    <w:rsid w:val="000B3A58"/>
    <w:rsid w:val="000B3BD6"/>
    <w:rsid w:val="000C6FE5"/>
    <w:rsid w:val="000C7852"/>
    <w:rsid w:val="000C7D20"/>
    <w:rsid w:val="000C7FA6"/>
    <w:rsid w:val="000D6CDD"/>
    <w:rsid w:val="000E0591"/>
    <w:rsid w:val="000E462D"/>
    <w:rsid w:val="000E4C7B"/>
    <w:rsid w:val="000E58A2"/>
    <w:rsid w:val="000E6B63"/>
    <w:rsid w:val="000F0045"/>
    <w:rsid w:val="000F2785"/>
    <w:rsid w:val="000F2E64"/>
    <w:rsid w:val="000F43A0"/>
    <w:rsid w:val="000F579E"/>
    <w:rsid w:val="001006B9"/>
    <w:rsid w:val="00101691"/>
    <w:rsid w:val="00102371"/>
    <w:rsid w:val="00103DD3"/>
    <w:rsid w:val="001046B8"/>
    <w:rsid w:val="00106F68"/>
    <w:rsid w:val="00107999"/>
    <w:rsid w:val="00111C40"/>
    <w:rsid w:val="001145CB"/>
    <w:rsid w:val="001160E5"/>
    <w:rsid w:val="00116921"/>
    <w:rsid w:val="00117128"/>
    <w:rsid w:val="00117672"/>
    <w:rsid w:val="00117FF0"/>
    <w:rsid w:val="00121B0C"/>
    <w:rsid w:val="001234DB"/>
    <w:rsid w:val="00126EAF"/>
    <w:rsid w:val="0013341E"/>
    <w:rsid w:val="001334F3"/>
    <w:rsid w:val="00133BB0"/>
    <w:rsid w:val="00134310"/>
    <w:rsid w:val="00134C43"/>
    <w:rsid w:val="00135318"/>
    <w:rsid w:val="00135DD8"/>
    <w:rsid w:val="001402BF"/>
    <w:rsid w:val="00140CFD"/>
    <w:rsid w:val="00143991"/>
    <w:rsid w:val="001462FA"/>
    <w:rsid w:val="00154321"/>
    <w:rsid w:val="0015693C"/>
    <w:rsid w:val="00161651"/>
    <w:rsid w:val="00161E25"/>
    <w:rsid w:val="00162E1C"/>
    <w:rsid w:val="00171BAF"/>
    <w:rsid w:val="00172691"/>
    <w:rsid w:val="00174BCD"/>
    <w:rsid w:val="00174BED"/>
    <w:rsid w:val="00174CD2"/>
    <w:rsid w:val="001772F9"/>
    <w:rsid w:val="00177D11"/>
    <w:rsid w:val="00180968"/>
    <w:rsid w:val="001818A8"/>
    <w:rsid w:val="001928F0"/>
    <w:rsid w:val="0019354E"/>
    <w:rsid w:val="00195511"/>
    <w:rsid w:val="00196323"/>
    <w:rsid w:val="001A05FA"/>
    <w:rsid w:val="001A2D26"/>
    <w:rsid w:val="001A7736"/>
    <w:rsid w:val="001A777E"/>
    <w:rsid w:val="001B101E"/>
    <w:rsid w:val="001B517D"/>
    <w:rsid w:val="001C085C"/>
    <w:rsid w:val="001D27B7"/>
    <w:rsid w:val="001D2F17"/>
    <w:rsid w:val="001D75A1"/>
    <w:rsid w:val="001E03F2"/>
    <w:rsid w:val="001E296B"/>
    <w:rsid w:val="001E44DF"/>
    <w:rsid w:val="001E4A14"/>
    <w:rsid w:val="001F07FA"/>
    <w:rsid w:val="001F096D"/>
    <w:rsid w:val="001F37C8"/>
    <w:rsid w:val="001F3A8E"/>
    <w:rsid w:val="001F727C"/>
    <w:rsid w:val="00201653"/>
    <w:rsid w:val="0020263F"/>
    <w:rsid w:val="00203C3B"/>
    <w:rsid w:val="0021186B"/>
    <w:rsid w:val="00214891"/>
    <w:rsid w:val="00216AEB"/>
    <w:rsid w:val="0021762A"/>
    <w:rsid w:val="00220112"/>
    <w:rsid w:val="002203A5"/>
    <w:rsid w:val="00221170"/>
    <w:rsid w:val="00221EEA"/>
    <w:rsid w:val="002246A9"/>
    <w:rsid w:val="0022529B"/>
    <w:rsid w:val="00225844"/>
    <w:rsid w:val="00226869"/>
    <w:rsid w:val="0022689F"/>
    <w:rsid w:val="00226FF3"/>
    <w:rsid w:val="0023004E"/>
    <w:rsid w:val="002311CB"/>
    <w:rsid w:val="002314E4"/>
    <w:rsid w:val="002331F5"/>
    <w:rsid w:val="00233421"/>
    <w:rsid w:val="002334EB"/>
    <w:rsid w:val="00233856"/>
    <w:rsid w:val="0023417F"/>
    <w:rsid w:val="00235D25"/>
    <w:rsid w:val="00235EFA"/>
    <w:rsid w:val="00236508"/>
    <w:rsid w:val="002369D7"/>
    <w:rsid w:val="00237F6D"/>
    <w:rsid w:val="00240008"/>
    <w:rsid w:val="00243422"/>
    <w:rsid w:val="00244CCA"/>
    <w:rsid w:val="002454AD"/>
    <w:rsid w:val="00246E23"/>
    <w:rsid w:val="0025556B"/>
    <w:rsid w:val="00255D9D"/>
    <w:rsid w:val="00255F47"/>
    <w:rsid w:val="00260368"/>
    <w:rsid w:val="0026082C"/>
    <w:rsid w:val="0026083C"/>
    <w:rsid w:val="00260C2C"/>
    <w:rsid w:val="00262508"/>
    <w:rsid w:val="00262959"/>
    <w:rsid w:val="0026780D"/>
    <w:rsid w:val="00271A6E"/>
    <w:rsid w:val="002771D7"/>
    <w:rsid w:val="00282284"/>
    <w:rsid w:val="00283F3C"/>
    <w:rsid w:val="00284CA7"/>
    <w:rsid w:val="00284EAA"/>
    <w:rsid w:val="00285E0C"/>
    <w:rsid w:val="002903F9"/>
    <w:rsid w:val="0029393C"/>
    <w:rsid w:val="00294231"/>
    <w:rsid w:val="002A4337"/>
    <w:rsid w:val="002A5378"/>
    <w:rsid w:val="002A7FA2"/>
    <w:rsid w:val="002B1918"/>
    <w:rsid w:val="002B647E"/>
    <w:rsid w:val="002B77B9"/>
    <w:rsid w:val="002C06C1"/>
    <w:rsid w:val="002C15D1"/>
    <w:rsid w:val="002C2745"/>
    <w:rsid w:val="002C482A"/>
    <w:rsid w:val="002C52A2"/>
    <w:rsid w:val="002C592D"/>
    <w:rsid w:val="002C6BE6"/>
    <w:rsid w:val="002D3556"/>
    <w:rsid w:val="002D4B38"/>
    <w:rsid w:val="002D5738"/>
    <w:rsid w:val="002D620E"/>
    <w:rsid w:val="002D75E1"/>
    <w:rsid w:val="002E1042"/>
    <w:rsid w:val="002E7CAA"/>
    <w:rsid w:val="002F0CA3"/>
    <w:rsid w:val="002F12C8"/>
    <w:rsid w:val="002F20C6"/>
    <w:rsid w:val="002F5670"/>
    <w:rsid w:val="00300F3B"/>
    <w:rsid w:val="0030159F"/>
    <w:rsid w:val="00302816"/>
    <w:rsid w:val="00304FC3"/>
    <w:rsid w:val="00305AD8"/>
    <w:rsid w:val="00306708"/>
    <w:rsid w:val="00307049"/>
    <w:rsid w:val="0031610D"/>
    <w:rsid w:val="0031793C"/>
    <w:rsid w:val="00320B9D"/>
    <w:rsid w:val="00321043"/>
    <w:rsid w:val="0032293F"/>
    <w:rsid w:val="00323A0F"/>
    <w:rsid w:val="00331692"/>
    <w:rsid w:val="003343DA"/>
    <w:rsid w:val="003356DE"/>
    <w:rsid w:val="003365A5"/>
    <w:rsid w:val="0033727F"/>
    <w:rsid w:val="00340DEA"/>
    <w:rsid w:val="00341BB3"/>
    <w:rsid w:val="00342F80"/>
    <w:rsid w:val="0034500E"/>
    <w:rsid w:val="00345CBF"/>
    <w:rsid w:val="003476B8"/>
    <w:rsid w:val="003522E4"/>
    <w:rsid w:val="00353C43"/>
    <w:rsid w:val="00356716"/>
    <w:rsid w:val="00356960"/>
    <w:rsid w:val="003574A0"/>
    <w:rsid w:val="00360738"/>
    <w:rsid w:val="00361163"/>
    <w:rsid w:val="003629B8"/>
    <w:rsid w:val="003638EE"/>
    <w:rsid w:val="003659E7"/>
    <w:rsid w:val="0037005B"/>
    <w:rsid w:val="00371329"/>
    <w:rsid w:val="00373D81"/>
    <w:rsid w:val="0037459C"/>
    <w:rsid w:val="00374D46"/>
    <w:rsid w:val="00375ECC"/>
    <w:rsid w:val="003772A2"/>
    <w:rsid w:val="00381DDD"/>
    <w:rsid w:val="00382B62"/>
    <w:rsid w:val="00383D86"/>
    <w:rsid w:val="00385589"/>
    <w:rsid w:val="00387576"/>
    <w:rsid w:val="003927F7"/>
    <w:rsid w:val="00392F90"/>
    <w:rsid w:val="003948D7"/>
    <w:rsid w:val="00394CC3"/>
    <w:rsid w:val="00394EF3"/>
    <w:rsid w:val="00397762"/>
    <w:rsid w:val="003A174D"/>
    <w:rsid w:val="003A494A"/>
    <w:rsid w:val="003A53D4"/>
    <w:rsid w:val="003A6010"/>
    <w:rsid w:val="003B592D"/>
    <w:rsid w:val="003B5AA5"/>
    <w:rsid w:val="003B6F76"/>
    <w:rsid w:val="003B7EB0"/>
    <w:rsid w:val="003C3116"/>
    <w:rsid w:val="003C4039"/>
    <w:rsid w:val="003C4344"/>
    <w:rsid w:val="003D2814"/>
    <w:rsid w:val="003D7369"/>
    <w:rsid w:val="003E0450"/>
    <w:rsid w:val="003E05BB"/>
    <w:rsid w:val="003E20C1"/>
    <w:rsid w:val="003E4F64"/>
    <w:rsid w:val="003E6605"/>
    <w:rsid w:val="003E6782"/>
    <w:rsid w:val="003E7558"/>
    <w:rsid w:val="003E7714"/>
    <w:rsid w:val="003E776D"/>
    <w:rsid w:val="003E7BE3"/>
    <w:rsid w:val="003F1A22"/>
    <w:rsid w:val="003F25F9"/>
    <w:rsid w:val="0040001A"/>
    <w:rsid w:val="00406A76"/>
    <w:rsid w:val="004123D6"/>
    <w:rsid w:val="00416407"/>
    <w:rsid w:val="00424C54"/>
    <w:rsid w:val="0043104B"/>
    <w:rsid w:val="004338FC"/>
    <w:rsid w:val="00433F9B"/>
    <w:rsid w:val="00436066"/>
    <w:rsid w:val="00436B79"/>
    <w:rsid w:val="00447A3E"/>
    <w:rsid w:val="00450324"/>
    <w:rsid w:val="00451FF0"/>
    <w:rsid w:val="00452B23"/>
    <w:rsid w:val="00455C05"/>
    <w:rsid w:val="0046141C"/>
    <w:rsid w:val="00462D4A"/>
    <w:rsid w:val="00463049"/>
    <w:rsid w:val="004634FA"/>
    <w:rsid w:val="004645CE"/>
    <w:rsid w:val="00466655"/>
    <w:rsid w:val="00466EA3"/>
    <w:rsid w:val="0047505B"/>
    <w:rsid w:val="004813F5"/>
    <w:rsid w:val="0048375B"/>
    <w:rsid w:val="00483993"/>
    <w:rsid w:val="0048517A"/>
    <w:rsid w:val="00487510"/>
    <w:rsid w:val="00490847"/>
    <w:rsid w:val="00491116"/>
    <w:rsid w:val="00493CD6"/>
    <w:rsid w:val="004A362C"/>
    <w:rsid w:val="004A75BC"/>
    <w:rsid w:val="004B0FF9"/>
    <w:rsid w:val="004B199D"/>
    <w:rsid w:val="004B48F6"/>
    <w:rsid w:val="004B4C5B"/>
    <w:rsid w:val="004B4DC9"/>
    <w:rsid w:val="004B6316"/>
    <w:rsid w:val="004B748A"/>
    <w:rsid w:val="004C03BD"/>
    <w:rsid w:val="004C048F"/>
    <w:rsid w:val="004C13A6"/>
    <w:rsid w:val="004C3A89"/>
    <w:rsid w:val="004C40F5"/>
    <w:rsid w:val="004C6172"/>
    <w:rsid w:val="004D3CEB"/>
    <w:rsid w:val="004D6F12"/>
    <w:rsid w:val="004E0520"/>
    <w:rsid w:val="004E220A"/>
    <w:rsid w:val="004E2CC7"/>
    <w:rsid w:val="004F0817"/>
    <w:rsid w:val="004F2AD5"/>
    <w:rsid w:val="004F36D2"/>
    <w:rsid w:val="004F7505"/>
    <w:rsid w:val="004F7FFB"/>
    <w:rsid w:val="00502443"/>
    <w:rsid w:val="00505070"/>
    <w:rsid w:val="00505295"/>
    <w:rsid w:val="00507170"/>
    <w:rsid w:val="005078E3"/>
    <w:rsid w:val="005100CA"/>
    <w:rsid w:val="00510636"/>
    <w:rsid w:val="00511CDF"/>
    <w:rsid w:val="00512C60"/>
    <w:rsid w:val="00516130"/>
    <w:rsid w:val="005252BC"/>
    <w:rsid w:val="0052616D"/>
    <w:rsid w:val="0052683C"/>
    <w:rsid w:val="00526BA7"/>
    <w:rsid w:val="005276B0"/>
    <w:rsid w:val="00527B1B"/>
    <w:rsid w:val="0053293D"/>
    <w:rsid w:val="00534F88"/>
    <w:rsid w:val="005362C6"/>
    <w:rsid w:val="00536B81"/>
    <w:rsid w:val="0053713B"/>
    <w:rsid w:val="0054005A"/>
    <w:rsid w:val="00540315"/>
    <w:rsid w:val="00540768"/>
    <w:rsid w:val="0054324D"/>
    <w:rsid w:val="00543ABC"/>
    <w:rsid w:val="00544BA2"/>
    <w:rsid w:val="00545177"/>
    <w:rsid w:val="005467F3"/>
    <w:rsid w:val="00553DAE"/>
    <w:rsid w:val="00554072"/>
    <w:rsid w:val="005548B7"/>
    <w:rsid w:val="00563390"/>
    <w:rsid w:val="005649FC"/>
    <w:rsid w:val="0057154C"/>
    <w:rsid w:val="00571633"/>
    <w:rsid w:val="0057630D"/>
    <w:rsid w:val="005806C4"/>
    <w:rsid w:val="00583329"/>
    <w:rsid w:val="00584444"/>
    <w:rsid w:val="005849D5"/>
    <w:rsid w:val="00585573"/>
    <w:rsid w:val="0058575C"/>
    <w:rsid w:val="00590AF9"/>
    <w:rsid w:val="00591B1A"/>
    <w:rsid w:val="00595702"/>
    <w:rsid w:val="00596ACB"/>
    <w:rsid w:val="005A28A1"/>
    <w:rsid w:val="005A4B9F"/>
    <w:rsid w:val="005A5846"/>
    <w:rsid w:val="005A63A9"/>
    <w:rsid w:val="005A6D96"/>
    <w:rsid w:val="005B449F"/>
    <w:rsid w:val="005B6D74"/>
    <w:rsid w:val="005B7986"/>
    <w:rsid w:val="005C38E4"/>
    <w:rsid w:val="005C3C5E"/>
    <w:rsid w:val="005C5E99"/>
    <w:rsid w:val="005C76F2"/>
    <w:rsid w:val="005C7D4F"/>
    <w:rsid w:val="005D00BF"/>
    <w:rsid w:val="005D10DC"/>
    <w:rsid w:val="005D20A2"/>
    <w:rsid w:val="005D50CC"/>
    <w:rsid w:val="005D5729"/>
    <w:rsid w:val="005D5E34"/>
    <w:rsid w:val="005E0975"/>
    <w:rsid w:val="005E240A"/>
    <w:rsid w:val="005E4328"/>
    <w:rsid w:val="005E5FB9"/>
    <w:rsid w:val="005E6696"/>
    <w:rsid w:val="005F10FA"/>
    <w:rsid w:val="005F26E2"/>
    <w:rsid w:val="005F2B80"/>
    <w:rsid w:val="005F414D"/>
    <w:rsid w:val="00602891"/>
    <w:rsid w:val="00603AD3"/>
    <w:rsid w:val="006042E6"/>
    <w:rsid w:val="00605047"/>
    <w:rsid w:val="0060649E"/>
    <w:rsid w:val="00606D2C"/>
    <w:rsid w:val="006100A5"/>
    <w:rsid w:val="00614D22"/>
    <w:rsid w:val="00615BC3"/>
    <w:rsid w:val="006238D4"/>
    <w:rsid w:val="00630783"/>
    <w:rsid w:val="0063445A"/>
    <w:rsid w:val="0063478D"/>
    <w:rsid w:val="00640837"/>
    <w:rsid w:val="00640C24"/>
    <w:rsid w:val="00642117"/>
    <w:rsid w:val="006434F0"/>
    <w:rsid w:val="006477E3"/>
    <w:rsid w:val="0065082E"/>
    <w:rsid w:val="00653934"/>
    <w:rsid w:val="00653B05"/>
    <w:rsid w:val="00653D65"/>
    <w:rsid w:val="00654566"/>
    <w:rsid w:val="00660C75"/>
    <w:rsid w:val="00661F49"/>
    <w:rsid w:val="00662BC7"/>
    <w:rsid w:val="00663074"/>
    <w:rsid w:val="00665BBB"/>
    <w:rsid w:val="00666D38"/>
    <w:rsid w:val="0066785E"/>
    <w:rsid w:val="00667A23"/>
    <w:rsid w:val="00671338"/>
    <w:rsid w:val="00671577"/>
    <w:rsid w:val="006751E1"/>
    <w:rsid w:val="006759F6"/>
    <w:rsid w:val="00676DF0"/>
    <w:rsid w:val="0068122A"/>
    <w:rsid w:val="00685ECF"/>
    <w:rsid w:val="006870A4"/>
    <w:rsid w:val="00690F85"/>
    <w:rsid w:val="00691F2B"/>
    <w:rsid w:val="00693255"/>
    <w:rsid w:val="00693C7C"/>
    <w:rsid w:val="00694739"/>
    <w:rsid w:val="00696AD3"/>
    <w:rsid w:val="00696D05"/>
    <w:rsid w:val="006A146E"/>
    <w:rsid w:val="006A22F0"/>
    <w:rsid w:val="006A6AEF"/>
    <w:rsid w:val="006B0822"/>
    <w:rsid w:val="006B144C"/>
    <w:rsid w:val="006B4E6D"/>
    <w:rsid w:val="006B5D48"/>
    <w:rsid w:val="006C3CE2"/>
    <w:rsid w:val="006C7480"/>
    <w:rsid w:val="006D000F"/>
    <w:rsid w:val="006D2A9E"/>
    <w:rsid w:val="006D53F7"/>
    <w:rsid w:val="006E40F6"/>
    <w:rsid w:val="006E45E3"/>
    <w:rsid w:val="006E4856"/>
    <w:rsid w:val="006E48B5"/>
    <w:rsid w:val="006F1A27"/>
    <w:rsid w:val="006F1BEA"/>
    <w:rsid w:val="006F68B0"/>
    <w:rsid w:val="006F7C3C"/>
    <w:rsid w:val="00702B30"/>
    <w:rsid w:val="00706132"/>
    <w:rsid w:val="00706C5C"/>
    <w:rsid w:val="0071398C"/>
    <w:rsid w:val="0071636B"/>
    <w:rsid w:val="007208DD"/>
    <w:rsid w:val="00720B14"/>
    <w:rsid w:val="007224EC"/>
    <w:rsid w:val="00731296"/>
    <w:rsid w:val="00731679"/>
    <w:rsid w:val="00732063"/>
    <w:rsid w:val="00741F19"/>
    <w:rsid w:val="0074444F"/>
    <w:rsid w:val="007450AF"/>
    <w:rsid w:val="00745348"/>
    <w:rsid w:val="007455D9"/>
    <w:rsid w:val="00750082"/>
    <w:rsid w:val="0075254F"/>
    <w:rsid w:val="007529CE"/>
    <w:rsid w:val="00752D18"/>
    <w:rsid w:val="007533AE"/>
    <w:rsid w:val="0075495F"/>
    <w:rsid w:val="00756761"/>
    <w:rsid w:val="00757697"/>
    <w:rsid w:val="00760955"/>
    <w:rsid w:val="00761DC2"/>
    <w:rsid w:val="00762610"/>
    <w:rsid w:val="00766946"/>
    <w:rsid w:val="00770AD3"/>
    <w:rsid w:val="007716D4"/>
    <w:rsid w:val="0077241F"/>
    <w:rsid w:val="007734CA"/>
    <w:rsid w:val="007738CD"/>
    <w:rsid w:val="00774866"/>
    <w:rsid w:val="007752CB"/>
    <w:rsid w:val="0078141A"/>
    <w:rsid w:val="007850DB"/>
    <w:rsid w:val="007856E0"/>
    <w:rsid w:val="00786324"/>
    <w:rsid w:val="00790C2F"/>
    <w:rsid w:val="007911A4"/>
    <w:rsid w:val="00791FB9"/>
    <w:rsid w:val="007935A2"/>
    <w:rsid w:val="0079410F"/>
    <w:rsid w:val="00794583"/>
    <w:rsid w:val="00795337"/>
    <w:rsid w:val="00797062"/>
    <w:rsid w:val="00797684"/>
    <w:rsid w:val="007A1283"/>
    <w:rsid w:val="007A18B1"/>
    <w:rsid w:val="007A376A"/>
    <w:rsid w:val="007A445A"/>
    <w:rsid w:val="007A5EB9"/>
    <w:rsid w:val="007A6190"/>
    <w:rsid w:val="007B1749"/>
    <w:rsid w:val="007B22E0"/>
    <w:rsid w:val="007B4CCF"/>
    <w:rsid w:val="007B597F"/>
    <w:rsid w:val="007B5DAF"/>
    <w:rsid w:val="007B7387"/>
    <w:rsid w:val="007B7F9F"/>
    <w:rsid w:val="007C1CF4"/>
    <w:rsid w:val="007C2A3E"/>
    <w:rsid w:val="007C3AAB"/>
    <w:rsid w:val="007C442B"/>
    <w:rsid w:val="007C4589"/>
    <w:rsid w:val="007C4EA3"/>
    <w:rsid w:val="007C6366"/>
    <w:rsid w:val="007C7304"/>
    <w:rsid w:val="007D0A2E"/>
    <w:rsid w:val="007D24D4"/>
    <w:rsid w:val="007D4D34"/>
    <w:rsid w:val="007D5BB5"/>
    <w:rsid w:val="007D7B9C"/>
    <w:rsid w:val="007E09C6"/>
    <w:rsid w:val="007E2BFF"/>
    <w:rsid w:val="007E36FB"/>
    <w:rsid w:val="007E50C5"/>
    <w:rsid w:val="007E70B1"/>
    <w:rsid w:val="007E71B4"/>
    <w:rsid w:val="007F1475"/>
    <w:rsid w:val="007F2C87"/>
    <w:rsid w:val="007F614C"/>
    <w:rsid w:val="007F7B1B"/>
    <w:rsid w:val="00804A37"/>
    <w:rsid w:val="00805B5C"/>
    <w:rsid w:val="00805D3D"/>
    <w:rsid w:val="008064E9"/>
    <w:rsid w:val="008072E1"/>
    <w:rsid w:val="00811B1F"/>
    <w:rsid w:val="00814576"/>
    <w:rsid w:val="00817194"/>
    <w:rsid w:val="00817F61"/>
    <w:rsid w:val="0082282E"/>
    <w:rsid w:val="0082286D"/>
    <w:rsid w:val="00822F0B"/>
    <w:rsid w:val="0082319B"/>
    <w:rsid w:val="00823A5E"/>
    <w:rsid w:val="008328A2"/>
    <w:rsid w:val="0083377F"/>
    <w:rsid w:val="008350A0"/>
    <w:rsid w:val="008363B8"/>
    <w:rsid w:val="008412F1"/>
    <w:rsid w:val="00843072"/>
    <w:rsid w:val="00845A6A"/>
    <w:rsid w:val="00850DC4"/>
    <w:rsid w:val="00851EDD"/>
    <w:rsid w:val="008533EB"/>
    <w:rsid w:val="00853D01"/>
    <w:rsid w:val="008552BA"/>
    <w:rsid w:val="00855FDD"/>
    <w:rsid w:val="008606D6"/>
    <w:rsid w:val="00860D10"/>
    <w:rsid w:val="00860EF7"/>
    <w:rsid w:val="00861F79"/>
    <w:rsid w:val="00862BBE"/>
    <w:rsid w:val="00865F9E"/>
    <w:rsid w:val="00866965"/>
    <w:rsid w:val="0087263A"/>
    <w:rsid w:val="00872F64"/>
    <w:rsid w:val="00873F25"/>
    <w:rsid w:val="0087425D"/>
    <w:rsid w:val="0087543D"/>
    <w:rsid w:val="00875CA4"/>
    <w:rsid w:val="00875CF3"/>
    <w:rsid w:val="00876867"/>
    <w:rsid w:val="008778EB"/>
    <w:rsid w:val="00877F9C"/>
    <w:rsid w:val="0088048E"/>
    <w:rsid w:val="00891714"/>
    <w:rsid w:val="008938C9"/>
    <w:rsid w:val="00893E77"/>
    <w:rsid w:val="00895E19"/>
    <w:rsid w:val="008A3572"/>
    <w:rsid w:val="008A417E"/>
    <w:rsid w:val="008A7243"/>
    <w:rsid w:val="008B2CA3"/>
    <w:rsid w:val="008B2D9F"/>
    <w:rsid w:val="008B44EF"/>
    <w:rsid w:val="008B646F"/>
    <w:rsid w:val="008B77E4"/>
    <w:rsid w:val="008C062F"/>
    <w:rsid w:val="008C1E20"/>
    <w:rsid w:val="008C4182"/>
    <w:rsid w:val="008C4497"/>
    <w:rsid w:val="008C4FDD"/>
    <w:rsid w:val="008C5EBB"/>
    <w:rsid w:val="008C7AD0"/>
    <w:rsid w:val="008E0CBA"/>
    <w:rsid w:val="008F077E"/>
    <w:rsid w:val="008F0A79"/>
    <w:rsid w:val="008F0E9E"/>
    <w:rsid w:val="008F179B"/>
    <w:rsid w:val="008F21C3"/>
    <w:rsid w:val="008F2B07"/>
    <w:rsid w:val="008F4FED"/>
    <w:rsid w:val="008F5700"/>
    <w:rsid w:val="008F5E46"/>
    <w:rsid w:val="009009F3"/>
    <w:rsid w:val="00905EDA"/>
    <w:rsid w:val="00906922"/>
    <w:rsid w:val="009069BB"/>
    <w:rsid w:val="009078C2"/>
    <w:rsid w:val="00907C0C"/>
    <w:rsid w:val="009155A9"/>
    <w:rsid w:val="00915CBE"/>
    <w:rsid w:val="00920B69"/>
    <w:rsid w:val="009213D8"/>
    <w:rsid w:val="009237EF"/>
    <w:rsid w:val="00926887"/>
    <w:rsid w:val="00930030"/>
    <w:rsid w:val="00932F2F"/>
    <w:rsid w:val="00935D0F"/>
    <w:rsid w:val="009376F8"/>
    <w:rsid w:val="00940FB9"/>
    <w:rsid w:val="0094103F"/>
    <w:rsid w:val="00947115"/>
    <w:rsid w:val="009474C9"/>
    <w:rsid w:val="00950126"/>
    <w:rsid w:val="00951D84"/>
    <w:rsid w:val="009530CD"/>
    <w:rsid w:val="00955417"/>
    <w:rsid w:val="00955734"/>
    <w:rsid w:val="00955ACC"/>
    <w:rsid w:val="00956150"/>
    <w:rsid w:val="00957884"/>
    <w:rsid w:val="00966368"/>
    <w:rsid w:val="00966409"/>
    <w:rsid w:val="00966AA8"/>
    <w:rsid w:val="0096790B"/>
    <w:rsid w:val="009679B8"/>
    <w:rsid w:val="00972DD8"/>
    <w:rsid w:val="0098244E"/>
    <w:rsid w:val="00983205"/>
    <w:rsid w:val="00985A43"/>
    <w:rsid w:val="00985A66"/>
    <w:rsid w:val="00990DBA"/>
    <w:rsid w:val="0099121B"/>
    <w:rsid w:val="00991BA6"/>
    <w:rsid w:val="0099224C"/>
    <w:rsid w:val="00992370"/>
    <w:rsid w:val="0099785C"/>
    <w:rsid w:val="00997E1E"/>
    <w:rsid w:val="009A1EDF"/>
    <w:rsid w:val="009B53C6"/>
    <w:rsid w:val="009B5D18"/>
    <w:rsid w:val="009B6DF0"/>
    <w:rsid w:val="009B6E0D"/>
    <w:rsid w:val="009C19A5"/>
    <w:rsid w:val="009C2FBC"/>
    <w:rsid w:val="009C39CC"/>
    <w:rsid w:val="009C58EF"/>
    <w:rsid w:val="009C761E"/>
    <w:rsid w:val="009C7864"/>
    <w:rsid w:val="009D0918"/>
    <w:rsid w:val="009D0BBC"/>
    <w:rsid w:val="009D7A0B"/>
    <w:rsid w:val="009E32DA"/>
    <w:rsid w:val="009E5B98"/>
    <w:rsid w:val="009E5D73"/>
    <w:rsid w:val="009E6E9C"/>
    <w:rsid w:val="009F1309"/>
    <w:rsid w:val="009F3160"/>
    <w:rsid w:val="009F42C3"/>
    <w:rsid w:val="009F5A28"/>
    <w:rsid w:val="009F6CC9"/>
    <w:rsid w:val="00A011EF"/>
    <w:rsid w:val="00A01EDF"/>
    <w:rsid w:val="00A03308"/>
    <w:rsid w:val="00A043C7"/>
    <w:rsid w:val="00A07150"/>
    <w:rsid w:val="00A117F0"/>
    <w:rsid w:val="00A133F8"/>
    <w:rsid w:val="00A13520"/>
    <w:rsid w:val="00A16789"/>
    <w:rsid w:val="00A20777"/>
    <w:rsid w:val="00A21A52"/>
    <w:rsid w:val="00A22474"/>
    <w:rsid w:val="00A22BF5"/>
    <w:rsid w:val="00A23917"/>
    <w:rsid w:val="00A24554"/>
    <w:rsid w:val="00A250D2"/>
    <w:rsid w:val="00A2585E"/>
    <w:rsid w:val="00A25FB2"/>
    <w:rsid w:val="00A27030"/>
    <w:rsid w:val="00A31D6E"/>
    <w:rsid w:val="00A31E46"/>
    <w:rsid w:val="00A401CA"/>
    <w:rsid w:val="00A42993"/>
    <w:rsid w:val="00A43D7C"/>
    <w:rsid w:val="00A449CC"/>
    <w:rsid w:val="00A45C84"/>
    <w:rsid w:val="00A467AC"/>
    <w:rsid w:val="00A53D11"/>
    <w:rsid w:val="00A547D4"/>
    <w:rsid w:val="00A55BF1"/>
    <w:rsid w:val="00A57826"/>
    <w:rsid w:val="00A57C0D"/>
    <w:rsid w:val="00A62461"/>
    <w:rsid w:val="00A639BF"/>
    <w:rsid w:val="00A739AD"/>
    <w:rsid w:val="00A8119C"/>
    <w:rsid w:val="00A824C0"/>
    <w:rsid w:val="00A8292C"/>
    <w:rsid w:val="00A9616F"/>
    <w:rsid w:val="00A97B98"/>
    <w:rsid w:val="00AA15D3"/>
    <w:rsid w:val="00AA1CEB"/>
    <w:rsid w:val="00AA5A69"/>
    <w:rsid w:val="00AB3EC0"/>
    <w:rsid w:val="00AB4435"/>
    <w:rsid w:val="00AB713E"/>
    <w:rsid w:val="00AC2C91"/>
    <w:rsid w:val="00AC2E9A"/>
    <w:rsid w:val="00AC2F0A"/>
    <w:rsid w:val="00AC35D4"/>
    <w:rsid w:val="00AC365A"/>
    <w:rsid w:val="00AC41F4"/>
    <w:rsid w:val="00AC4FBE"/>
    <w:rsid w:val="00AC63BE"/>
    <w:rsid w:val="00AC6BF8"/>
    <w:rsid w:val="00AD1C86"/>
    <w:rsid w:val="00AD332A"/>
    <w:rsid w:val="00AD70CA"/>
    <w:rsid w:val="00AD78CD"/>
    <w:rsid w:val="00AD7CD0"/>
    <w:rsid w:val="00AE52F3"/>
    <w:rsid w:val="00AE5C4F"/>
    <w:rsid w:val="00AF04D2"/>
    <w:rsid w:val="00AF067E"/>
    <w:rsid w:val="00AF152C"/>
    <w:rsid w:val="00AF1747"/>
    <w:rsid w:val="00AF1E42"/>
    <w:rsid w:val="00AF36BA"/>
    <w:rsid w:val="00AF3A6E"/>
    <w:rsid w:val="00AF49A8"/>
    <w:rsid w:val="00AF5231"/>
    <w:rsid w:val="00AF5479"/>
    <w:rsid w:val="00AF58E9"/>
    <w:rsid w:val="00B01804"/>
    <w:rsid w:val="00B0255D"/>
    <w:rsid w:val="00B0296E"/>
    <w:rsid w:val="00B0665C"/>
    <w:rsid w:val="00B0796E"/>
    <w:rsid w:val="00B12489"/>
    <w:rsid w:val="00B14D76"/>
    <w:rsid w:val="00B1562C"/>
    <w:rsid w:val="00B16BF6"/>
    <w:rsid w:val="00B16C10"/>
    <w:rsid w:val="00B21EB2"/>
    <w:rsid w:val="00B23CCE"/>
    <w:rsid w:val="00B2494E"/>
    <w:rsid w:val="00B254B6"/>
    <w:rsid w:val="00B26BEA"/>
    <w:rsid w:val="00B32063"/>
    <w:rsid w:val="00B408E5"/>
    <w:rsid w:val="00B419B7"/>
    <w:rsid w:val="00B41D0A"/>
    <w:rsid w:val="00B43FFA"/>
    <w:rsid w:val="00B46746"/>
    <w:rsid w:val="00B52D54"/>
    <w:rsid w:val="00B536DF"/>
    <w:rsid w:val="00B5599A"/>
    <w:rsid w:val="00B56969"/>
    <w:rsid w:val="00B57AEF"/>
    <w:rsid w:val="00B62D03"/>
    <w:rsid w:val="00B62F3D"/>
    <w:rsid w:val="00B62F8C"/>
    <w:rsid w:val="00B63A96"/>
    <w:rsid w:val="00B64DAD"/>
    <w:rsid w:val="00B70658"/>
    <w:rsid w:val="00B71FB9"/>
    <w:rsid w:val="00B73E19"/>
    <w:rsid w:val="00B7659A"/>
    <w:rsid w:val="00B778CC"/>
    <w:rsid w:val="00B81735"/>
    <w:rsid w:val="00B83BAD"/>
    <w:rsid w:val="00B8598D"/>
    <w:rsid w:val="00B94E71"/>
    <w:rsid w:val="00B97255"/>
    <w:rsid w:val="00BA043A"/>
    <w:rsid w:val="00BA22C5"/>
    <w:rsid w:val="00BA648D"/>
    <w:rsid w:val="00BA665B"/>
    <w:rsid w:val="00BA7525"/>
    <w:rsid w:val="00BB2973"/>
    <w:rsid w:val="00BB6E04"/>
    <w:rsid w:val="00BB7810"/>
    <w:rsid w:val="00BC13F2"/>
    <w:rsid w:val="00BC5134"/>
    <w:rsid w:val="00BC7B08"/>
    <w:rsid w:val="00BD0823"/>
    <w:rsid w:val="00BD08AE"/>
    <w:rsid w:val="00BD5683"/>
    <w:rsid w:val="00BE6AB3"/>
    <w:rsid w:val="00BF139E"/>
    <w:rsid w:val="00BF15AE"/>
    <w:rsid w:val="00BF1CFA"/>
    <w:rsid w:val="00BF22D1"/>
    <w:rsid w:val="00BF3767"/>
    <w:rsid w:val="00BF3FC6"/>
    <w:rsid w:val="00BF4A67"/>
    <w:rsid w:val="00BF77EA"/>
    <w:rsid w:val="00C00D80"/>
    <w:rsid w:val="00C016E6"/>
    <w:rsid w:val="00C02F72"/>
    <w:rsid w:val="00C04264"/>
    <w:rsid w:val="00C061E2"/>
    <w:rsid w:val="00C1203A"/>
    <w:rsid w:val="00C13318"/>
    <w:rsid w:val="00C13E81"/>
    <w:rsid w:val="00C1742E"/>
    <w:rsid w:val="00C261C1"/>
    <w:rsid w:val="00C2682C"/>
    <w:rsid w:val="00C31627"/>
    <w:rsid w:val="00C3426C"/>
    <w:rsid w:val="00C3482C"/>
    <w:rsid w:val="00C35537"/>
    <w:rsid w:val="00C3557B"/>
    <w:rsid w:val="00C362C9"/>
    <w:rsid w:val="00C36E0B"/>
    <w:rsid w:val="00C42B12"/>
    <w:rsid w:val="00C42D32"/>
    <w:rsid w:val="00C50C73"/>
    <w:rsid w:val="00C647F9"/>
    <w:rsid w:val="00C65007"/>
    <w:rsid w:val="00C71762"/>
    <w:rsid w:val="00C74B0D"/>
    <w:rsid w:val="00C75919"/>
    <w:rsid w:val="00C75DA8"/>
    <w:rsid w:val="00C80BF0"/>
    <w:rsid w:val="00C90572"/>
    <w:rsid w:val="00C90FA4"/>
    <w:rsid w:val="00C94763"/>
    <w:rsid w:val="00C95DC9"/>
    <w:rsid w:val="00C96D1A"/>
    <w:rsid w:val="00C97BEF"/>
    <w:rsid w:val="00CA0B07"/>
    <w:rsid w:val="00CA114A"/>
    <w:rsid w:val="00CA2162"/>
    <w:rsid w:val="00CA2B19"/>
    <w:rsid w:val="00CA3DBE"/>
    <w:rsid w:val="00CA517E"/>
    <w:rsid w:val="00CA5E2F"/>
    <w:rsid w:val="00CA7A5A"/>
    <w:rsid w:val="00CB1067"/>
    <w:rsid w:val="00CB44E3"/>
    <w:rsid w:val="00CB4D17"/>
    <w:rsid w:val="00CB6D44"/>
    <w:rsid w:val="00CC143F"/>
    <w:rsid w:val="00CC2415"/>
    <w:rsid w:val="00CC4AD9"/>
    <w:rsid w:val="00CC5E22"/>
    <w:rsid w:val="00CC7A41"/>
    <w:rsid w:val="00CC7EFD"/>
    <w:rsid w:val="00CC7FA2"/>
    <w:rsid w:val="00CD064F"/>
    <w:rsid w:val="00CD0CAE"/>
    <w:rsid w:val="00CD3460"/>
    <w:rsid w:val="00CD470C"/>
    <w:rsid w:val="00CD6A6E"/>
    <w:rsid w:val="00CE1C41"/>
    <w:rsid w:val="00CE30A2"/>
    <w:rsid w:val="00CE52BA"/>
    <w:rsid w:val="00CE566B"/>
    <w:rsid w:val="00CE77F9"/>
    <w:rsid w:val="00CF02EB"/>
    <w:rsid w:val="00CF25C8"/>
    <w:rsid w:val="00CF2828"/>
    <w:rsid w:val="00CF5F79"/>
    <w:rsid w:val="00D00E47"/>
    <w:rsid w:val="00D048C5"/>
    <w:rsid w:val="00D05124"/>
    <w:rsid w:val="00D1010D"/>
    <w:rsid w:val="00D129CA"/>
    <w:rsid w:val="00D2000D"/>
    <w:rsid w:val="00D2154F"/>
    <w:rsid w:val="00D22351"/>
    <w:rsid w:val="00D25042"/>
    <w:rsid w:val="00D3215E"/>
    <w:rsid w:val="00D33326"/>
    <w:rsid w:val="00D3365E"/>
    <w:rsid w:val="00D34339"/>
    <w:rsid w:val="00D363D2"/>
    <w:rsid w:val="00D36F58"/>
    <w:rsid w:val="00D40F63"/>
    <w:rsid w:val="00D41524"/>
    <w:rsid w:val="00D44498"/>
    <w:rsid w:val="00D44D88"/>
    <w:rsid w:val="00D44E15"/>
    <w:rsid w:val="00D44E46"/>
    <w:rsid w:val="00D45C2A"/>
    <w:rsid w:val="00D512B4"/>
    <w:rsid w:val="00D536B1"/>
    <w:rsid w:val="00D540D0"/>
    <w:rsid w:val="00D54A86"/>
    <w:rsid w:val="00D572EF"/>
    <w:rsid w:val="00D63CB4"/>
    <w:rsid w:val="00D70ABF"/>
    <w:rsid w:val="00D7116A"/>
    <w:rsid w:val="00D71500"/>
    <w:rsid w:val="00D71622"/>
    <w:rsid w:val="00D71A00"/>
    <w:rsid w:val="00D73154"/>
    <w:rsid w:val="00D74072"/>
    <w:rsid w:val="00D7542F"/>
    <w:rsid w:val="00D90E25"/>
    <w:rsid w:val="00D91060"/>
    <w:rsid w:val="00D916FB"/>
    <w:rsid w:val="00D92962"/>
    <w:rsid w:val="00D9338E"/>
    <w:rsid w:val="00D93524"/>
    <w:rsid w:val="00D93A5B"/>
    <w:rsid w:val="00D94752"/>
    <w:rsid w:val="00D948CF"/>
    <w:rsid w:val="00D95282"/>
    <w:rsid w:val="00DA1AAB"/>
    <w:rsid w:val="00DA2E83"/>
    <w:rsid w:val="00DA4461"/>
    <w:rsid w:val="00DA4801"/>
    <w:rsid w:val="00DA6C51"/>
    <w:rsid w:val="00DB2AF3"/>
    <w:rsid w:val="00DB5CBC"/>
    <w:rsid w:val="00DB6628"/>
    <w:rsid w:val="00DC0A16"/>
    <w:rsid w:val="00DC3E1B"/>
    <w:rsid w:val="00DD4C76"/>
    <w:rsid w:val="00DD70E9"/>
    <w:rsid w:val="00DD7DFE"/>
    <w:rsid w:val="00DE0BFE"/>
    <w:rsid w:val="00DE1B53"/>
    <w:rsid w:val="00DE25B9"/>
    <w:rsid w:val="00DE3359"/>
    <w:rsid w:val="00DE7360"/>
    <w:rsid w:val="00DE7B23"/>
    <w:rsid w:val="00DF5735"/>
    <w:rsid w:val="00DF640A"/>
    <w:rsid w:val="00DF64B3"/>
    <w:rsid w:val="00DF76E3"/>
    <w:rsid w:val="00E02BD7"/>
    <w:rsid w:val="00E03C12"/>
    <w:rsid w:val="00E061BD"/>
    <w:rsid w:val="00E11BEB"/>
    <w:rsid w:val="00E1254C"/>
    <w:rsid w:val="00E14F32"/>
    <w:rsid w:val="00E15501"/>
    <w:rsid w:val="00E15F0B"/>
    <w:rsid w:val="00E17AF4"/>
    <w:rsid w:val="00E17B2E"/>
    <w:rsid w:val="00E17E00"/>
    <w:rsid w:val="00E21F52"/>
    <w:rsid w:val="00E21FB5"/>
    <w:rsid w:val="00E236DA"/>
    <w:rsid w:val="00E238AC"/>
    <w:rsid w:val="00E27414"/>
    <w:rsid w:val="00E3019C"/>
    <w:rsid w:val="00E331AD"/>
    <w:rsid w:val="00E350B9"/>
    <w:rsid w:val="00E417AA"/>
    <w:rsid w:val="00E43F21"/>
    <w:rsid w:val="00E4541A"/>
    <w:rsid w:val="00E45900"/>
    <w:rsid w:val="00E50524"/>
    <w:rsid w:val="00E50CD8"/>
    <w:rsid w:val="00E5487E"/>
    <w:rsid w:val="00E55014"/>
    <w:rsid w:val="00E56A84"/>
    <w:rsid w:val="00E6188E"/>
    <w:rsid w:val="00E61925"/>
    <w:rsid w:val="00E621CD"/>
    <w:rsid w:val="00E62534"/>
    <w:rsid w:val="00E650C3"/>
    <w:rsid w:val="00E65D2D"/>
    <w:rsid w:val="00E66E5E"/>
    <w:rsid w:val="00E676A3"/>
    <w:rsid w:val="00E67A61"/>
    <w:rsid w:val="00E715B2"/>
    <w:rsid w:val="00E76032"/>
    <w:rsid w:val="00E81BD2"/>
    <w:rsid w:val="00E83548"/>
    <w:rsid w:val="00E84814"/>
    <w:rsid w:val="00E853C7"/>
    <w:rsid w:val="00E86381"/>
    <w:rsid w:val="00E87217"/>
    <w:rsid w:val="00E9107E"/>
    <w:rsid w:val="00E9228D"/>
    <w:rsid w:val="00E9307D"/>
    <w:rsid w:val="00E93573"/>
    <w:rsid w:val="00E935BF"/>
    <w:rsid w:val="00E96CC5"/>
    <w:rsid w:val="00E970D7"/>
    <w:rsid w:val="00EA12D3"/>
    <w:rsid w:val="00EA1BC8"/>
    <w:rsid w:val="00EA2233"/>
    <w:rsid w:val="00EA6E8E"/>
    <w:rsid w:val="00EA6EEB"/>
    <w:rsid w:val="00EA71C1"/>
    <w:rsid w:val="00EB58B6"/>
    <w:rsid w:val="00EB6D4F"/>
    <w:rsid w:val="00EC280C"/>
    <w:rsid w:val="00EC3445"/>
    <w:rsid w:val="00EC3B34"/>
    <w:rsid w:val="00EC5303"/>
    <w:rsid w:val="00ED0F8F"/>
    <w:rsid w:val="00ED3426"/>
    <w:rsid w:val="00ED35E6"/>
    <w:rsid w:val="00ED3BD8"/>
    <w:rsid w:val="00EE0A75"/>
    <w:rsid w:val="00EE38B9"/>
    <w:rsid w:val="00EE7235"/>
    <w:rsid w:val="00EF406B"/>
    <w:rsid w:val="00F03194"/>
    <w:rsid w:val="00F036A5"/>
    <w:rsid w:val="00F03731"/>
    <w:rsid w:val="00F063A4"/>
    <w:rsid w:val="00F07E86"/>
    <w:rsid w:val="00F12E74"/>
    <w:rsid w:val="00F1630A"/>
    <w:rsid w:val="00F17E14"/>
    <w:rsid w:val="00F2081B"/>
    <w:rsid w:val="00F21A46"/>
    <w:rsid w:val="00F22A1C"/>
    <w:rsid w:val="00F23274"/>
    <w:rsid w:val="00F23608"/>
    <w:rsid w:val="00F26B87"/>
    <w:rsid w:val="00F27401"/>
    <w:rsid w:val="00F27507"/>
    <w:rsid w:val="00F27B48"/>
    <w:rsid w:val="00F32906"/>
    <w:rsid w:val="00F348E6"/>
    <w:rsid w:val="00F426C6"/>
    <w:rsid w:val="00F4408E"/>
    <w:rsid w:val="00F502B9"/>
    <w:rsid w:val="00F50EEA"/>
    <w:rsid w:val="00F55304"/>
    <w:rsid w:val="00F6735C"/>
    <w:rsid w:val="00F7046E"/>
    <w:rsid w:val="00F708D7"/>
    <w:rsid w:val="00F71592"/>
    <w:rsid w:val="00F72637"/>
    <w:rsid w:val="00F742BD"/>
    <w:rsid w:val="00F74941"/>
    <w:rsid w:val="00F75D73"/>
    <w:rsid w:val="00F81209"/>
    <w:rsid w:val="00F81E15"/>
    <w:rsid w:val="00F82B66"/>
    <w:rsid w:val="00F82FC0"/>
    <w:rsid w:val="00F86ECE"/>
    <w:rsid w:val="00F872B4"/>
    <w:rsid w:val="00F920B7"/>
    <w:rsid w:val="00F92A51"/>
    <w:rsid w:val="00F95DAE"/>
    <w:rsid w:val="00FA1B04"/>
    <w:rsid w:val="00FA5E95"/>
    <w:rsid w:val="00FA788B"/>
    <w:rsid w:val="00FB4157"/>
    <w:rsid w:val="00FC03B9"/>
    <w:rsid w:val="00FC1DE0"/>
    <w:rsid w:val="00FC1E70"/>
    <w:rsid w:val="00FC5820"/>
    <w:rsid w:val="00FC5C85"/>
    <w:rsid w:val="00FC5DD0"/>
    <w:rsid w:val="00FD4643"/>
    <w:rsid w:val="00FD54C4"/>
    <w:rsid w:val="00FD6452"/>
    <w:rsid w:val="00FD6F16"/>
    <w:rsid w:val="00FD71C6"/>
    <w:rsid w:val="00FE05B6"/>
    <w:rsid w:val="00FE0EDB"/>
    <w:rsid w:val="00FE7612"/>
    <w:rsid w:val="00FF0548"/>
    <w:rsid w:val="00FF0C27"/>
    <w:rsid w:val="00FF10FD"/>
    <w:rsid w:val="00FF1639"/>
    <w:rsid w:val="00FF2C8E"/>
    <w:rsid w:val="00FF3378"/>
    <w:rsid w:val="012670EA"/>
    <w:rsid w:val="014C6B51"/>
    <w:rsid w:val="01A22C15"/>
    <w:rsid w:val="02347B70"/>
    <w:rsid w:val="0250441F"/>
    <w:rsid w:val="025D7143"/>
    <w:rsid w:val="02756968"/>
    <w:rsid w:val="027570E2"/>
    <w:rsid w:val="02AB3D4B"/>
    <w:rsid w:val="02E1151B"/>
    <w:rsid w:val="02F0175E"/>
    <w:rsid w:val="03373831"/>
    <w:rsid w:val="03550315"/>
    <w:rsid w:val="038670E5"/>
    <w:rsid w:val="03F1578E"/>
    <w:rsid w:val="03FB5E2B"/>
    <w:rsid w:val="040B06C0"/>
    <w:rsid w:val="04891E6A"/>
    <w:rsid w:val="050B3AD3"/>
    <w:rsid w:val="060519C4"/>
    <w:rsid w:val="069F3BC7"/>
    <w:rsid w:val="06A8346D"/>
    <w:rsid w:val="06DF0467"/>
    <w:rsid w:val="072C5193"/>
    <w:rsid w:val="075F5104"/>
    <w:rsid w:val="0797664C"/>
    <w:rsid w:val="0857336D"/>
    <w:rsid w:val="08B230F0"/>
    <w:rsid w:val="08E11CF1"/>
    <w:rsid w:val="090C380D"/>
    <w:rsid w:val="097E5D15"/>
    <w:rsid w:val="099F5043"/>
    <w:rsid w:val="09CB032D"/>
    <w:rsid w:val="09E41B59"/>
    <w:rsid w:val="0A0F1433"/>
    <w:rsid w:val="0A283ED3"/>
    <w:rsid w:val="0A2B656A"/>
    <w:rsid w:val="0AA4745A"/>
    <w:rsid w:val="0B2328FB"/>
    <w:rsid w:val="0B2C354F"/>
    <w:rsid w:val="0B3C2C01"/>
    <w:rsid w:val="0B416472"/>
    <w:rsid w:val="0BF71DAF"/>
    <w:rsid w:val="0C685AAF"/>
    <w:rsid w:val="0C911FD6"/>
    <w:rsid w:val="0CA5180B"/>
    <w:rsid w:val="0D4A5F0F"/>
    <w:rsid w:val="0D7929DB"/>
    <w:rsid w:val="0D920C0A"/>
    <w:rsid w:val="0E06452B"/>
    <w:rsid w:val="0E387E55"/>
    <w:rsid w:val="0E415563"/>
    <w:rsid w:val="0E417312"/>
    <w:rsid w:val="0EAE2BD9"/>
    <w:rsid w:val="0EBA4A39"/>
    <w:rsid w:val="0ED65CAC"/>
    <w:rsid w:val="0EDA4572"/>
    <w:rsid w:val="0EE24DFF"/>
    <w:rsid w:val="10174F58"/>
    <w:rsid w:val="1092654A"/>
    <w:rsid w:val="109C6D65"/>
    <w:rsid w:val="10A80F3A"/>
    <w:rsid w:val="10D75D0B"/>
    <w:rsid w:val="10F1661F"/>
    <w:rsid w:val="11951E4E"/>
    <w:rsid w:val="12032D5F"/>
    <w:rsid w:val="122C0B8D"/>
    <w:rsid w:val="12482A46"/>
    <w:rsid w:val="12895914"/>
    <w:rsid w:val="134812FC"/>
    <w:rsid w:val="13597BC4"/>
    <w:rsid w:val="13E71EDB"/>
    <w:rsid w:val="140E4ECF"/>
    <w:rsid w:val="154B65FE"/>
    <w:rsid w:val="155362A8"/>
    <w:rsid w:val="15966195"/>
    <w:rsid w:val="15DA0777"/>
    <w:rsid w:val="168E3804"/>
    <w:rsid w:val="16DC23B8"/>
    <w:rsid w:val="17723D51"/>
    <w:rsid w:val="179761F4"/>
    <w:rsid w:val="179B211E"/>
    <w:rsid w:val="17C92852"/>
    <w:rsid w:val="18375373"/>
    <w:rsid w:val="18392581"/>
    <w:rsid w:val="186E3B60"/>
    <w:rsid w:val="187327BD"/>
    <w:rsid w:val="189C7F66"/>
    <w:rsid w:val="18BF3E5D"/>
    <w:rsid w:val="18C4583B"/>
    <w:rsid w:val="18D92F68"/>
    <w:rsid w:val="19007BCD"/>
    <w:rsid w:val="193F0B0B"/>
    <w:rsid w:val="19481E9C"/>
    <w:rsid w:val="195A572B"/>
    <w:rsid w:val="196C79D4"/>
    <w:rsid w:val="197A700E"/>
    <w:rsid w:val="197F39A2"/>
    <w:rsid w:val="19E12C8B"/>
    <w:rsid w:val="19E716B5"/>
    <w:rsid w:val="19FA6C20"/>
    <w:rsid w:val="1B691423"/>
    <w:rsid w:val="1B9757C9"/>
    <w:rsid w:val="1BD6553D"/>
    <w:rsid w:val="1C0F6CA1"/>
    <w:rsid w:val="1C2C7853"/>
    <w:rsid w:val="1C3F30FE"/>
    <w:rsid w:val="1C4633C2"/>
    <w:rsid w:val="1C5823F6"/>
    <w:rsid w:val="1CA101DB"/>
    <w:rsid w:val="1CC16350"/>
    <w:rsid w:val="1D9C27B6"/>
    <w:rsid w:val="1DAE4D4F"/>
    <w:rsid w:val="1E682698"/>
    <w:rsid w:val="1E706BE9"/>
    <w:rsid w:val="1EF35510"/>
    <w:rsid w:val="1F486752"/>
    <w:rsid w:val="1FDC789C"/>
    <w:rsid w:val="20250841"/>
    <w:rsid w:val="203B62B7"/>
    <w:rsid w:val="20474FD3"/>
    <w:rsid w:val="204D5FEA"/>
    <w:rsid w:val="21033A2B"/>
    <w:rsid w:val="2179164D"/>
    <w:rsid w:val="21B300CF"/>
    <w:rsid w:val="21C67E02"/>
    <w:rsid w:val="21D95D87"/>
    <w:rsid w:val="226F1177"/>
    <w:rsid w:val="228D6B72"/>
    <w:rsid w:val="22B820C8"/>
    <w:rsid w:val="23461373"/>
    <w:rsid w:val="23897339"/>
    <w:rsid w:val="240370EB"/>
    <w:rsid w:val="24554673"/>
    <w:rsid w:val="246361F0"/>
    <w:rsid w:val="24B30B11"/>
    <w:rsid w:val="25110EB4"/>
    <w:rsid w:val="256C2A6E"/>
    <w:rsid w:val="25A82C0F"/>
    <w:rsid w:val="25B0123E"/>
    <w:rsid w:val="261F3F85"/>
    <w:rsid w:val="26243349"/>
    <w:rsid w:val="263A0DBE"/>
    <w:rsid w:val="26543C2E"/>
    <w:rsid w:val="268D1DA6"/>
    <w:rsid w:val="26D22DA5"/>
    <w:rsid w:val="27084A19"/>
    <w:rsid w:val="27712357"/>
    <w:rsid w:val="27FA0805"/>
    <w:rsid w:val="28233FC5"/>
    <w:rsid w:val="2876672A"/>
    <w:rsid w:val="28852BE0"/>
    <w:rsid w:val="28953A96"/>
    <w:rsid w:val="28EF584D"/>
    <w:rsid w:val="291853E7"/>
    <w:rsid w:val="292B768E"/>
    <w:rsid w:val="296968E0"/>
    <w:rsid w:val="2A297ABB"/>
    <w:rsid w:val="2A721B61"/>
    <w:rsid w:val="2AA95755"/>
    <w:rsid w:val="2AD0470B"/>
    <w:rsid w:val="2B011EAB"/>
    <w:rsid w:val="2B4D10E9"/>
    <w:rsid w:val="2B570427"/>
    <w:rsid w:val="2BAF3618"/>
    <w:rsid w:val="2BBB64FD"/>
    <w:rsid w:val="2BC76C50"/>
    <w:rsid w:val="2BDD0AB5"/>
    <w:rsid w:val="2C2A41CE"/>
    <w:rsid w:val="2CB41A64"/>
    <w:rsid w:val="2CB63430"/>
    <w:rsid w:val="2D8C4BE4"/>
    <w:rsid w:val="2EFA558F"/>
    <w:rsid w:val="2F3A0823"/>
    <w:rsid w:val="2FC27AC1"/>
    <w:rsid w:val="2FE222AB"/>
    <w:rsid w:val="30077F63"/>
    <w:rsid w:val="302C5C1C"/>
    <w:rsid w:val="30340651"/>
    <w:rsid w:val="30A739B6"/>
    <w:rsid w:val="30C878DC"/>
    <w:rsid w:val="30F027A5"/>
    <w:rsid w:val="30F556B2"/>
    <w:rsid w:val="317B29B7"/>
    <w:rsid w:val="31AB491E"/>
    <w:rsid w:val="32144BB9"/>
    <w:rsid w:val="32AB21E1"/>
    <w:rsid w:val="32E877A8"/>
    <w:rsid w:val="331A7FAD"/>
    <w:rsid w:val="3381401D"/>
    <w:rsid w:val="33B27785"/>
    <w:rsid w:val="34452E08"/>
    <w:rsid w:val="344C063B"/>
    <w:rsid w:val="34955803"/>
    <w:rsid w:val="34B955A4"/>
    <w:rsid w:val="34BD5094"/>
    <w:rsid w:val="35123632"/>
    <w:rsid w:val="35B37072"/>
    <w:rsid w:val="36140CE4"/>
    <w:rsid w:val="363A30E7"/>
    <w:rsid w:val="36607CD1"/>
    <w:rsid w:val="3688238F"/>
    <w:rsid w:val="36A77DAA"/>
    <w:rsid w:val="36F31241"/>
    <w:rsid w:val="370E607B"/>
    <w:rsid w:val="372C6501"/>
    <w:rsid w:val="376E08C8"/>
    <w:rsid w:val="37B116E8"/>
    <w:rsid w:val="381A1709"/>
    <w:rsid w:val="3825542A"/>
    <w:rsid w:val="384B0C09"/>
    <w:rsid w:val="3872457D"/>
    <w:rsid w:val="394915ED"/>
    <w:rsid w:val="3955231C"/>
    <w:rsid w:val="39736669"/>
    <w:rsid w:val="39A63026"/>
    <w:rsid w:val="39AA4D09"/>
    <w:rsid w:val="39B349D6"/>
    <w:rsid w:val="3A2B0CF2"/>
    <w:rsid w:val="3AD13679"/>
    <w:rsid w:val="3AD6115D"/>
    <w:rsid w:val="3B0268F4"/>
    <w:rsid w:val="3B3C43D1"/>
    <w:rsid w:val="3B4C2AA9"/>
    <w:rsid w:val="3C22426D"/>
    <w:rsid w:val="3CBB2C8E"/>
    <w:rsid w:val="3D0C1998"/>
    <w:rsid w:val="3D157C46"/>
    <w:rsid w:val="3D16260B"/>
    <w:rsid w:val="3D2C5CB1"/>
    <w:rsid w:val="3D70539A"/>
    <w:rsid w:val="3DAB1273"/>
    <w:rsid w:val="3DD3647A"/>
    <w:rsid w:val="3FBD063E"/>
    <w:rsid w:val="3FE81B7F"/>
    <w:rsid w:val="3FF6163A"/>
    <w:rsid w:val="40401708"/>
    <w:rsid w:val="408353E4"/>
    <w:rsid w:val="40EF2A79"/>
    <w:rsid w:val="41A92CB9"/>
    <w:rsid w:val="41E60100"/>
    <w:rsid w:val="41F663BA"/>
    <w:rsid w:val="427A45C5"/>
    <w:rsid w:val="435A0346"/>
    <w:rsid w:val="43601A0D"/>
    <w:rsid w:val="437B6BF8"/>
    <w:rsid w:val="439862C8"/>
    <w:rsid w:val="43A85FAE"/>
    <w:rsid w:val="445F1CC4"/>
    <w:rsid w:val="44B71B6A"/>
    <w:rsid w:val="44D02839"/>
    <w:rsid w:val="44DB3153"/>
    <w:rsid w:val="45165638"/>
    <w:rsid w:val="45AD2F03"/>
    <w:rsid w:val="45D91064"/>
    <w:rsid w:val="46192347"/>
    <w:rsid w:val="461B62FD"/>
    <w:rsid w:val="46386C71"/>
    <w:rsid w:val="4642189D"/>
    <w:rsid w:val="46E54FC4"/>
    <w:rsid w:val="47092491"/>
    <w:rsid w:val="47217705"/>
    <w:rsid w:val="47305B9A"/>
    <w:rsid w:val="477D7D08"/>
    <w:rsid w:val="48096BCD"/>
    <w:rsid w:val="4843071A"/>
    <w:rsid w:val="486D179C"/>
    <w:rsid w:val="488B636B"/>
    <w:rsid w:val="489B367F"/>
    <w:rsid w:val="48F317CB"/>
    <w:rsid w:val="494F7E0F"/>
    <w:rsid w:val="49C80AF4"/>
    <w:rsid w:val="4A181AB0"/>
    <w:rsid w:val="4A203CA4"/>
    <w:rsid w:val="4A525E27"/>
    <w:rsid w:val="4A7A3516"/>
    <w:rsid w:val="4AB50890"/>
    <w:rsid w:val="4ABD0A92"/>
    <w:rsid w:val="4AF07B1A"/>
    <w:rsid w:val="4B105AC6"/>
    <w:rsid w:val="4B20027E"/>
    <w:rsid w:val="4B851F1C"/>
    <w:rsid w:val="4BCF6B9B"/>
    <w:rsid w:val="4C0065C3"/>
    <w:rsid w:val="4C3C1029"/>
    <w:rsid w:val="4C4023DB"/>
    <w:rsid w:val="4C75305F"/>
    <w:rsid w:val="4C98603C"/>
    <w:rsid w:val="4D0E61DF"/>
    <w:rsid w:val="4D8D78A2"/>
    <w:rsid w:val="4D962551"/>
    <w:rsid w:val="4DD25EBC"/>
    <w:rsid w:val="4E004271"/>
    <w:rsid w:val="4E6F6C18"/>
    <w:rsid w:val="4E7B76FB"/>
    <w:rsid w:val="4EA07161"/>
    <w:rsid w:val="4EA8502F"/>
    <w:rsid w:val="4F9250C8"/>
    <w:rsid w:val="4FDA66A3"/>
    <w:rsid w:val="50172B75"/>
    <w:rsid w:val="5045610F"/>
    <w:rsid w:val="50CF3D2E"/>
    <w:rsid w:val="51222977"/>
    <w:rsid w:val="51450494"/>
    <w:rsid w:val="519D7DFC"/>
    <w:rsid w:val="51F779E0"/>
    <w:rsid w:val="521C2FA3"/>
    <w:rsid w:val="523429E2"/>
    <w:rsid w:val="523E56F6"/>
    <w:rsid w:val="525B155C"/>
    <w:rsid w:val="52A631B4"/>
    <w:rsid w:val="531719BC"/>
    <w:rsid w:val="53214E55"/>
    <w:rsid w:val="533B1B4E"/>
    <w:rsid w:val="535D7D17"/>
    <w:rsid w:val="54436F0C"/>
    <w:rsid w:val="54857525"/>
    <w:rsid w:val="55181CED"/>
    <w:rsid w:val="553A2531"/>
    <w:rsid w:val="559604DD"/>
    <w:rsid w:val="55E2358B"/>
    <w:rsid w:val="56AB6CC0"/>
    <w:rsid w:val="56BE6D1E"/>
    <w:rsid w:val="572E2885"/>
    <w:rsid w:val="574014E1"/>
    <w:rsid w:val="574145D4"/>
    <w:rsid w:val="583B7390"/>
    <w:rsid w:val="585A4825"/>
    <w:rsid w:val="597E4639"/>
    <w:rsid w:val="59821EFA"/>
    <w:rsid w:val="598F49A2"/>
    <w:rsid w:val="5A8D03E6"/>
    <w:rsid w:val="5AEC4867"/>
    <w:rsid w:val="5AF446E2"/>
    <w:rsid w:val="5B067C35"/>
    <w:rsid w:val="5B4377F2"/>
    <w:rsid w:val="5BB61908"/>
    <w:rsid w:val="5C0351D3"/>
    <w:rsid w:val="5C222CD5"/>
    <w:rsid w:val="5CA511B7"/>
    <w:rsid w:val="5CB01618"/>
    <w:rsid w:val="5CE13766"/>
    <w:rsid w:val="5D1256CE"/>
    <w:rsid w:val="5D2378DB"/>
    <w:rsid w:val="5DC10BEF"/>
    <w:rsid w:val="5DF43025"/>
    <w:rsid w:val="5DF474C9"/>
    <w:rsid w:val="5E3D2C1E"/>
    <w:rsid w:val="5F05667C"/>
    <w:rsid w:val="5F9023BD"/>
    <w:rsid w:val="5F9A5E4E"/>
    <w:rsid w:val="5FD363FA"/>
    <w:rsid w:val="5FD631F7"/>
    <w:rsid w:val="5FEF3609"/>
    <w:rsid w:val="60820DBC"/>
    <w:rsid w:val="609571F7"/>
    <w:rsid w:val="60FC2EFD"/>
    <w:rsid w:val="61313F2A"/>
    <w:rsid w:val="613A1697"/>
    <w:rsid w:val="6148750B"/>
    <w:rsid w:val="61566879"/>
    <w:rsid w:val="617F52FC"/>
    <w:rsid w:val="6189617B"/>
    <w:rsid w:val="61C6117D"/>
    <w:rsid w:val="623E09DC"/>
    <w:rsid w:val="6241238A"/>
    <w:rsid w:val="626A6679"/>
    <w:rsid w:val="628209E5"/>
    <w:rsid w:val="631F069B"/>
    <w:rsid w:val="633F4960"/>
    <w:rsid w:val="63462575"/>
    <w:rsid w:val="63730E90"/>
    <w:rsid w:val="63F445C6"/>
    <w:rsid w:val="64024807"/>
    <w:rsid w:val="646507D9"/>
    <w:rsid w:val="64850E7B"/>
    <w:rsid w:val="64A62BA0"/>
    <w:rsid w:val="65071890"/>
    <w:rsid w:val="6524795F"/>
    <w:rsid w:val="65362175"/>
    <w:rsid w:val="655E7448"/>
    <w:rsid w:val="65915152"/>
    <w:rsid w:val="65CA7FD6"/>
    <w:rsid w:val="66022B6D"/>
    <w:rsid w:val="665C67FC"/>
    <w:rsid w:val="66BB5028"/>
    <w:rsid w:val="68232E85"/>
    <w:rsid w:val="68D74FC1"/>
    <w:rsid w:val="691722BE"/>
    <w:rsid w:val="69263225"/>
    <w:rsid w:val="695300A7"/>
    <w:rsid w:val="69A13283"/>
    <w:rsid w:val="69B931E0"/>
    <w:rsid w:val="69F97DE3"/>
    <w:rsid w:val="6A5F3F1C"/>
    <w:rsid w:val="6A6D575A"/>
    <w:rsid w:val="6AA14535"/>
    <w:rsid w:val="6ABA55EC"/>
    <w:rsid w:val="6AE6602B"/>
    <w:rsid w:val="6B0F4348"/>
    <w:rsid w:val="6B1C58C3"/>
    <w:rsid w:val="6B421874"/>
    <w:rsid w:val="6B8860F9"/>
    <w:rsid w:val="6C172D01"/>
    <w:rsid w:val="6C225202"/>
    <w:rsid w:val="6C517895"/>
    <w:rsid w:val="6C702411"/>
    <w:rsid w:val="6DA168F0"/>
    <w:rsid w:val="6DFB21AE"/>
    <w:rsid w:val="6E302BD2"/>
    <w:rsid w:val="6E5D2DEF"/>
    <w:rsid w:val="6E88717A"/>
    <w:rsid w:val="6F332F08"/>
    <w:rsid w:val="6F4A6F49"/>
    <w:rsid w:val="6F884F7F"/>
    <w:rsid w:val="6FA67EF8"/>
    <w:rsid w:val="6FC05238"/>
    <w:rsid w:val="6FC50CC6"/>
    <w:rsid w:val="6FF8340C"/>
    <w:rsid w:val="706479E1"/>
    <w:rsid w:val="70763D6E"/>
    <w:rsid w:val="70866D91"/>
    <w:rsid w:val="70BA2D96"/>
    <w:rsid w:val="70EE5410"/>
    <w:rsid w:val="71360D19"/>
    <w:rsid w:val="71C97FFD"/>
    <w:rsid w:val="72077373"/>
    <w:rsid w:val="72691DDC"/>
    <w:rsid w:val="72B93B87"/>
    <w:rsid w:val="735A1DC6"/>
    <w:rsid w:val="736C0271"/>
    <w:rsid w:val="73723F39"/>
    <w:rsid w:val="742F02EA"/>
    <w:rsid w:val="743C68C5"/>
    <w:rsid w:val="74AE0799"/>
    <w:rsid w:val="74D13C69"/>
    <w:rsid w:val="750A05C0"/>
    <w:rsid w:val="755030BF"/>
    <w:rsid w:val="75610B49"/>
    <w:rsid w:val="75614FED"/>
    <w:rsid w:val="75C81F3F"/>
    <w:rsid w:val="75F2596C"/>
    <w:rsid w:val="76883AF1"/>
    <w:rsid w:val="76D11CFE"/>
    <w:rsid w:val="76F53C3E"/>
    <w:rsid w:val="77521091"/>
    <w:rsid w:val="77943F37"/>
    <w:rsid w:val="77D94258"/>
    <w:rsid w:val="782E5C21"/>
    <w:rsid w:val="78614B95"/>
    <w:rsid w:val="78E26444"/>
    <w:rsid w:val="78E33CB9"/>
    <w:rsid w:val="78F2001E"/>
    <w:rsid w:val="78F41CD4"/>
    <w:rsid w:val="796C5D0E"/>
    <w:rsid w:val="799D670D"/>
    <w:rsid w:val="79A365BC"/>
    <w:rsid w:val="79DC7338"/>
    <w:rsid w:val="7A1D3728"/>
    <w:rsid w:val="7A826FFD"/>
    <w:rsid w:val="7B4E6013"/>
    <w:rsid w:val="7B615F89"/>
    <w:rsid w:val="7BDE7397"/>
    <w:rsid w:val="7C134A3C"/>
    <w:rsid w:val="7C4B0B25"/>
    <w:rsid w:val="7CB061E4"/>
    <w:rsid w:val="7CD601D3"/>
    <w:rsid w:val="7E0B59D9"/>
    <w:rsid w:val="7E12436E"/>
    <w:rsid w:val="7E560813"/>
    <w:rsid w:val="7E891110"/>
    <w:rsid w:val="7F640D30"/>
    <w:rsid w:val="7F897264"/>
    <w:rsid w:val="7F9171FB"/>
    <w:rsid w:val="7FB73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ind w:firstLine="0" w:firstLineChars="0"/>
      <w:outlineLvl w:val="0"/>
    </w:pPr>
    <w:rPr>
      <w:rFonts w:ascii="Calibri" w:hAnsi="Calibri" w:eastAsia="宋体" w:cs="Times New Roman"/>
      <w:b/>
      <w:bCs/>
      <w:kern w:val="44"/>
      <w:sz w:val="44"/>
      <w:szCs w:val="44"/>
    </w:rPr>
  </w:style>
  <w:style w:type="paragraph" w:styleId="3">
    <w:name w:val="heading 2"/>
    <w:basedOn w:val="1"/>
    <w:next w:val="1"/>
    <w:link w:val="23"/>
    <w:qFormat/>
    <w:uiPriority w:val="0"/>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5"/>
    <w:semiHidden/>
    <w:unhideWhenUsed/>
    <w:qFormat/>
    <w:uiPriority w:val="99"/>
    <w:pPr>
      <w:spacing w:line="240" w:lineRule="auto"/>
      <w:ind w:firstLine="0" w:firstLineChars="0"/>
      <w:jc w:val="left"/>
    </w:pPr>
  </w:style>
  <w:style w:type="paragraph" w:styleId="6">
    <w:name w:val="Balloon Text"/>
    <w:basedOn w:val="1"/>
    <w:link w:val="17"/>
    <w:semiHidden/>
    <w:unhideWhenUsed/>
    <w:qFormat/>
    <w:uiPriority w:val="99"/>
    <w:pPr>
      <w:spacing w:line="240" w:lineRule="auto"/>
    </w:pPr>
    <w:rPr>
      <w:sz w:val="18"/>
      <w:szCs w:val="18"/>
    </w:rPr>
  </w:style>
  <w:style w:type="paragraph" w:styleId="7">
    <w:name w:val="footer"/>
    <w:basedOn w:val="1"/>
    <w:link w:val="19"/>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annotation subject"/>
    <w:basedOn w:val="5"/>
    <w:next w:val="5"/>
    <w:link w:val="20"/>
    <w:semiHidden/>
    <w:unhideWhenUsed/>
    <w:qFormat/>
    <w:uiPriority w:val="99"/>
    <w:pPr>
      <w:spacing w:line="360" w:lineRule="auto"/>
      <w:ind w:firstLine="200" w:firstLineChars="200"/>
    </w:pPr>
    <w:rPr>
      <w:b/>
      <w:bCs/>
    </w:rPr>
  </w:style>
  <w:style w:type="table" w:styleId="11">
    <w:name w:val="Table Grid"/>
    <w:basedOn w:val="10"/>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basedOn w:val="12"/>
    <w:semiHidden/>
    <w:unhideWhenUsed/>
    <w:qFormat/>
    <w:uiPriority w:val="99"/>
    <w:rPr>
      <w:sz w:val="21"/>
      <w:szCs w:val="21"/>
    </w:rPr>
  </w:style>
  <w:style w:type="character" w:customStyle="1" w:styleId="15">
    <w:name w:val="批注文字 字符"/>
    <w:basedOn w:val="12"/>
    <w:link w:val="5"/>
    <w:semiHidden/>
    <w:qFormat/>
    <w:uiPriority w:val="99"/>
  </w:style>
  <w:style w:type="paragraph" w:styleId="16">
    <w:name w:val="List Paragraph"/>
    <w:basedOn w:val="1"/>
    <w:qFormat/>
    <w:uiPriority w:val="34"/>
    <w:pPr>
      <w:spacing w:line="240" w:lineRule="auto"/>
      <w:ind w:firstLine="420"/>
    </w:pPr>
  </w:style>
  <w:style w:type="character" w:customStyle="1" w:styleId="17">
    <w:name w:val="批注框文本 字符"/>
    <w:basedOn w:val="12"/>
    <w:link w:val="6"/>
    <w:semiHidden/>
    <w:qFormat/>
    <w:uiPriority w:val="99"/>
    <w:rPr>
      <w:sz w:val="18"/>
      <w:szCs w:val="18"/>
    </w:rPr>
  </w:style>
  <w:style w:type="character" w:customStyle="1" w:styleId="18">
    <w:name w:val="页眉 字符"/>
    <w:basedOn w:val="12"/>
    <w:link w:val="8"/>
    <w:qFormat/>
    <w:uiPriority w:val="99"/>
    <w:rPr>
      <w:kern w:val="2"/>
      <w:sz w:val="18"/>
      <w:szCs w:val="18"/>
    </w:rPr>
  </w:style>
  <w:style w:type="character" w:customStyle="1" w:styleId="19">
    <w:name w:val="页脚 字符"/>
    <w:basedOn w:val="12"/>
    <w:link w:val="7"/>
    <w:qFormat/>
    <w:uiPriority w:val="99"/>
    <w:rPr>
      <w:kern w:val="2"/>
      <w:sz w:val="18"/>
      <w:szCs w:val="18"/>
    </w:rPr>
  </w:style>
  <w:style w:type="character" w:customStyle="1" w:styleId="20">
    <w:name w:val="批注主题 字符"/>
    <w:basedOn w:val="15"/>
    <w:link w:val="9"/>
    <w:semiHidden/>
    <w:qFormat/>
    <w:uiPriority w:val="99"/>
    <w:rPr>
      <w:b/>
      <w:bCs/>
      <w:kern w:val="2"/>
      <w:sz w:val="21"/>
      <w:szCs w:val="22"/>
    </w:rPr>
  </w:style>
  <w:style w:type="paragraph" w:customStyle="1" w:styleId="21">
    <w:name w:val="Revision1"/>
    <w:hidden/>
    <w:semiHidden/>
    <w:qFormat/>
    <w:uiPriority w:val="99"/>
    <w:pPr>
      <w:spacing w:after="160" w:line="259" w:lineRule="auto"/>
    </w:pPr>
    <w:rPr>
      <w:rFonts w:asciiTheme="minorHAnsi" w:hAnsiTheme="minorHAnsi" w:eastAsiaTheme="minorEastAsia" w:cstheme="minorBidi"/>
      <w:kern w:val="2"/>
      <w:sz w:val="21"/>
      <w:szCs w:val="22"/>
      <w:lang w:val="en-US" w:eastAsia="zh-CN" w:bidi="ar-SA"/>
    </w:rPr>
  </w:style>
  <w:style w:type="character" w:customStyle="1" w:styleId="22">
    <w:name w:val="标题 1 字符"/>
    <w:basedOn w:val="12"/>
    <w:link w:val="2"/>
    <w:qFormat/>
    <w:uiPriority w:val="9"/>
    <w:rPr>
      <w:b/>
      <w:bCs/>
      <w:kern w:val="44"/>
      <w:sz w:val="44"/>
      <w:szCs w:val="44"/>
    </w:rPr>
  </w:style>
  <w:style w:type="character" w:customStyle="1" w:styleId="23">
    <w:name w:val="标题 2 字符"/>
    <w:basedOn w:val="12"/>
    <w:link w:val="3"/>
    <w:qFormat/>
    <w:uiPriority w:val="0"/>
    <w:rPr>
      <w:rFonts w:asciiTheme="minorHAnsi" w:hAnsiTheme="minorHAnsi" w:eastAsiaTheme="minorEastAsia" w:cstheme="minorBidi"/>
      <w:b/>
      <w:kern w:val="18"/>
      <w:sz w:val="24"/>
      <w:szCs w:val="22"/>
      <w:lang w:val="en-AU" w:eastAsia="en-US"/>
    </w:rPr>
  </w:style>
  <w:style w:type="paragraph" w:customStyle="1" w:styleId="24">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0F8E4-B088-4E80-96B2-9ABCFFCABD8D}">
  <ds:schemaRefs/>
</ds:datastoreItem>
</file>

<file path=docProps/app.xml><?xml version="1.0" encoding="utf-8"?>
<Properties xmlns="http://schemas.openxmlformats.org/officeDocument/2006/extended-properties" xmlns:vt="http://schemas.openxmlformats.org/officeDocument/2006/docPropsVTypes">
  <Template>Normal</Template>
  <Company>CMES</Company>
  <Pages>19</Pages>
  <Words>6128</Words>
  <Characters>6261</Characters>
  <Lines>44</Lines>
  <Paragraphs>12</Paragraphs>
  <TotalTime>45</TotalTime>
  <ScaleCrop>false</ScaleCrop>
  <LinksUpToDate>false</LinksUpToDate>
  <CharactersWithSpaces>6585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2024-08-05T03:08:00Z</dcterms:created>
  <dc:creator>GMY</dc:creator>
  <cp:lastModifiedBy>胡志强</cp:lastModifiedBy>
  <cp:lastPrinted>2024-08-02T03:01:00Z</cp:lastPrinted>
  <dcterms:modified xsi:type="dcterms:W3CDTF">2025-09-04T02:03:42Z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admin@LIAXU6688NB2</vt:lpwstr>
  </property>
  <property fmtid="{D5CDD505-2E9C-101B-9397-08002B2CF9AE}" pid="6" name="MSIP_Label_f42aa342-8706-4288-bd11-ebb85995028c_SetDate">
    <vt:lpwstr>2019-09-22T15:34:00.5849607Z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ActionId">
    <vt:lpwstr>4ffc52ed-ddd2-42a3-8530-ede44ec1d34c</vt:lpwstr>
  </property>
  <property fmtid="{D5CDD505-2E9C-101B-9397-08002B2CF9AE}" pid="10" name="MSIP_Label_f42aa342-8706-4288-bd11-ebb85995028c_Extended_MSFT_Method">
    <vt:lpwstr>Automatic</vt:lpwstr>
  </property>
  <property fmtid="{D5CDD505-2E9C-101B-9397-08002B2CF9AE}" pid="11" name="Sensitivity">
    <vt:lpwstr>General</vt:lpwstr>
  </property>
  <property fmtid="{D5CDD505-2E9C-101B-9397-08002B2CF9AE}" pid="12" name="ICV">
    <vt:lpwstr>7300CB5087AF45029AC1E3FF6F1DFA7E</vt:lpwstr>
  </property>
  <property fmtid="{D5CDD505-2E9C-101B-9397-08002B2CF9AE}" pid="13" name="KSOTemplateDocerSaveRecord">
    <vt:lpwstr>eyJoZGlkIjoiNjg1NzhlNmM5M2JkZjRhZTIxYjAyZTc2NzQzNDg3MWUiLCJ1c2VySWQiOiIzNzk2MDc0MTQifQ==</vt:lpwstr>
  </property>
</Properties>
</file>